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EDAA" w14:textId="0B505B54" w:rsidR="00C640D8" w:rsidRDefault="00823E33" w:rsidP="00823E33">
      <w:pPr>
        <w:pStyle w:val="Texto0"/>
        <w:spacing w:before="0"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2E2B0A">
        <w:rPr>
          <w:sz w:val="24"/>
        </w:rPr>
        <w:t xml:space="preserve"> </w:t>
      </w:r>
      <w:r w:rsidR="00C640D8" w:rsidRPr="00823E33">
        <w:rPr>
          <w:rFonts w:asciiTheme="majorHAnsi" w:hAnsiTheme="majorHAnsi"/>
          <w:b/>
          <w:sz w:val="32"/>
          <w:szCs w:val="32"/>
        </w:rPr>
        <w:t>CIRCULAR EXTERNA</w:t>
      </w:r>
    </w:p>
    <w:p w14:paraId="6D74D74C" w14:textId="77777777" w:rsidR="00823E33" w:rsidRPr="00823E33" w:rsidRDefault="00823E33" w:rsidP="00823E33">
      <w:pPr>
        <w:pStyle w:val="Texto0"/>
        <w:spacing w:before="0" w:after="0" w:line="240" w:lineRule="auto"/>
        <w:jc w:val="center"/>
        <w:rPr>
          <w:b/>
          <w:sz w:val="32"/>
          <w:szCs w:val="32"/>
        </w:rPr>
      </w:pPr>
      <w:r w:rsidRPr="00823E33">
        <w:rPr>
          <w:b/>
          <w:sz w:val="32"/>
          <w:szCs w:val="32"/>
        </w:rPr>
        <w:t>SGF-2888-2015</w:t>
      </w:r>
    </w:p>
    <w:p w14:paraId="5EAD1F16" w14:textId="77777777" w:rsidR="00823E33" w:rsidRPr="00823E33" w:rsidRDefault="00823E33" w:rsidP="00C640D8">
      <w:pPr>
        <w:pStyle w:val="Texto0"/>
        <w:spacing w:before="0"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445DD1D0" w14:textId="77777777" w:rsidR="00C640D8" w:rsidRPr="004548A0" w:rsidRDefault="00C640D8" w:rsidP="00C640D8">
      <w:pPr>
        <w:pStyle w:val="Texto0"/>
        <w:spacing w:before="0" w:after="0" w:line="240" w:lineRule="auto"/>
        <w:jc w:val="center"/>
        <w:rPr>
          <w:rFonts w:asciiTheme="majorHAnsi" w:hAnsiTheme="majorHAnsi"/>
          <w:sz w:val="24"/>
        </w:rPr>
      </w:pPr>
      <w:r w:rsidRPr="004548A0">
        <w:rPr>
          <w:rFonts w:asciiTheme="majorHAnsi" w:hAnsiTheme="majorHAnsi"/>
          <w:sz w:val="24"/>
        </w:rPr>
        <w:t>1º de octubre del 2015</w:t>
      </w:r>
    </w:p>
    <w:p w14:paraId="5E46F805" w14:textId="77777777" w:rsidR="003554C5" w:rsidRPr="004548A0" w:rsidRDefault="003554C5" w:rsidP="00D26EDE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</w:p>
    <w:p w14:paraId="63A5C163" w14:textId="77777777" w:rsidR="00D01AD4" w:rsidRPr="00243024" w:rsidRDefault="00454CF0" w:rsidP="00454CF0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  <w:b/>
          <w:sz w:val="28"/>
          <w:lang w:val="es-CR"/>
        </w:rPr>
      </w:pPr>
      <w:r w:rsidRPr="00243024">
        <w:rPr>
          <w:rFonts w:asciiTheme="majorHAnsi" w:hAnsiTheme="majorHAnsi"/>
          <w:b/>
          <w:sz w:val="28"/>
          <w:lang w:val="es-CR"/>
        </w:rPr>
        <w:t xml:space="preserve">A </w:t>
      </w:r>
      <w:r w:rsidR="00D01AD4" w:rsidRPr="00243024">
        <w:rPr>
          <w:rFonts w:asciiTheme="majorHAnsi" w:hAnsiTheme="majorHAnsi"/>
          <w:b/>
          <w:sz w:val="28"/>
          <w:lang w:val="es-CR"/>
        </w:rPr>
        <w:t>TODO</w:t>
      </w:r>
      <w:r w:rsidR="004548A0" w:rsidRPr="00243024">
        <w:rPr>
          <w:rFonts w:asciiTheme="majorHAnsi" w:hAnsiTheme="majorHAnsi"/>
          <w:b/>
          <w:sz w:val="28"/>
          <w:lang w:val="es-CR"/>
        </w:rPr>
        <w:t>S L</w:t>
      </w:r>
      <w:r w:rsidR="00D01AD4" w:rsidRPr="00243024">
        <w:rPr>
          <w:rFonts w:asciiTheme="majorHAnsi" w:hAnsiTheme="majorHAnsi"/>
          <w:b/>
          <w:sz w:val="28"/>
          <w:lang w:val="es-CR"/>
        </w:rPr>
        <w:t>O</w:t>
      </w:r>
      <w:r w:rsidR="004548A0" w:rsidRPr="00243024">
        <w:rPr>
          <w:rFonts w:asciiTheme="majorHAnsi" w:hAnsiTheme="majorHAnsi"/>
          <w:b/>
          <w:sz w:val="28"/>
          <w:lang w:val="es-CR"/>
        </w:rPr>
        <w:t>S</w:t>
      </w:r>
      <w:r w:rsidR="00D01AD4" w:rsidRPr="00243024">
        <w:rPr>
          <w:rFonts w:asciiTheme="majorHAnsi" w:hAnsiTheme="majorHAnsi"/>
          <w:b/>
          <w:sz w:val="28"/>
          <w:lang w:val="es-CR"/>
        </w:rPr>
        <w:t xml:space="preserve"> INTERMEDIARIOS</w:t>
      </w:r>
      <w:r w:rsidR="004548A0" w:rsidRPr="00243024">
        <w:rPr>
          <w:rFonts w:asciiTheme="majorHAnsi" w:hAnsiTheme="majorHAnsi"/>
          <w:b/>
          <w:sz w:val="28"/>
          <w:lang w:val="es-CR"/>
        </w:rPr>
        <w:t xml:space="preserve"> FINANCIEROS</w:t>
      </w:r>
    </w:p>
    <w:p w14:paraId="68F8F08B" w14:textId="77777777" w:rsidR="00C640D8" w:rsidRPr="00243024" w:rsidRDefault="00D01AD4" w:rsidP="00454CF0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/>
          <w:b/>
          <w:sz w:val="28"/>
          <w:lang w:val="es-CR"/>
        </w:rPr>
      </w:pPr>
      <w:r w:rsidRPr="00243024">
        <w:rPr>
          <w:rFonts w:asciiTheme="majorHAnsi" w:hAnsiTheme="majorHAnsi"/>
          <w:b/>
          <w:sz w:val="28"/>
          <w:lang w:val="es-CR"/>
        </w:rPr>
        <w:t xml:space="preserve"> SUPERVISADO</w:t>
      </w:r>
      <w:r w:rsidR="004548A0" w:rsidRPr="00243024">
        <w:rPr>
          <w:rFonts w:asciiTheme="majorHAnsi" w:hAnsiTheme="majorHAnsi"/>
          <w:b/>
          <w:sz w:val="28"/>
          <w:lang w:val="es-CR"/>
        </w:rPr>
        <w:t xml:space="preserve">S POR </w:t>
      </w:r>
      <w:r w:rsidR="00454CF0" w:rsidRPr="00243024">
        <w:rPr>
          <w:rFonts w:asciiTheme="majorHAnsi" w:hAnsiTheme="majorHAnsi"/>
          <w:b/>
          <w:sz w:val="28"/>
          <w:lang w:val="es-CR"/>
        </w:rPr>
        <w:t xml:space="preserve"> </w:t>
      </w:r>
      <w:r w:rsidRPr="00243024">
        <w:rPr>
          <w:rFonts w:asciiTheme="majorHAnsi" w:hAnsiTheme="majorHAnsi"/>
          <w:b/>
          <w:sz w:val="28"/>
          <w:lang w:val="es-CR"/>
        </w:rPr>
        <w:t xml:space="preserve">LA </w:t>
      </w:r>
      <w:r w:rsidR="00454CF0" w:rsidRPr="00243024">
        <w:rPr>
          <w:rFonts w:asciiTheme="majorHAnsi" w:hAnsiTheme="majorHAnsi"/>
          <w:b/>
          <w:sz w:val="28"/>
          <w:lang w:val="es-CR"/>
        </w:rPr>
        <w:t>SUGEF</w:t>
      </w:r>
    </w:p>
    <w:p w14:paraId="3130EED2" w14:textId="77777777" w:rsidR="00454CF0" w:rsidRPr="004548A0" w:rsidRDefault="00454CF0" w:rsidP="00454CF0">
      <w:pPr>
        <w:pStyle w:val="NormalWeb"/>
        <w:spacing w:before="0" w:beforeAutospacing="0" w:after="0" w:afterAutospacing="0"/>
        <w:ind w:left="567"/>
        <w:jc w:val="center"/>
        <w:rPr>
          <w:rFonts w:asciiTheme="majorHAnsi" w:hAnsiTheme="majorHAnsi" w:cs="Arial"/>
          <w:b/>
          <w:bCs/>
          <w:lang w:val="es-CR"/>
        </w:rPr>
      </w:pPr>
    </w:p>
    <w:p w14:paraId="3D46BE76" w14:textId="77777777" w:rsidR="00C640D8" w:rsidRPr="004548A0" w:rsidRDefault="00C640D8" w:rsidP="00454CF0">
      <w:pPr>
        <w:ind w:left="851" w:hanging="851"/>
        <w:rPr>
          <w:rFonts w:asciiTheme="majorHAnsi" w:hAnsiTheme="majorHAnsi" w:cs="Arial"/>
          <w:bCs/>
          <w:sz w:val="24"/>
          <w:lang w:val="es-CR"/>
        </w:rPr>
      </w:pPr>
      <w:r w:rsidRPr="004548A0">
        <w:rPr>
          <w:rFonts w:asciiTheme="majorHAnsi" w:hAnsiTheme="majorHAnsi" w:cs="Arial"/>
          <w:b/>
          <w:bCs/>
          <w:sz w:val="24"/>
          <w:lang w:val="es-CR"/>
        </w:rPr>
        <w:t xml:space="preserve">Asunto: </w:t>
      </w:r>
      <w:r w:rsidR="00E304B3" w:rsidRPr="004548A0">
        <w:rPr>
          <w:rFonts w:asciiTheme="majorHAnsi" w:hAnsiTheme="majorHAnsi" w:cs="Arial"/>
          <w:bCs/>
          <w:sz w:val="24"/>
          <w:lang w:val="es-CR"/>
        </w:rPr>
        <w:t>Prórroga para el envío de clase</w:t>
      </w:r>
      <w:r w:rsidR="00EF3432" w:rsidRPr="004548A0">
        <w:rPr>
          <w:rFonts w:asciiTheme="majorHAnsi" w:hAnsiTheme="majorHAnsi" w:cs="Arial"/>
          <w:bCs/>
          <w:sz w:val="24"/>
          <w:lang w:val="es-CR"/>
        </w:rPr>
        <w:t>s</w:t>
      </w:r>
      <w:r w:rsidR="00E304B3" w:rsidRPr="004548A0">
        <w:rPr>
          <w:rFonts w:asciiTheme="majorHAnsi" w:hAnsiTheme="majorHAnsi" w:cs="Arial"/>
          <w:bCs/>
          <w:sz w:val="24"/>
          <w:lang w:val="es-CR"/>
        </w:rPr>
        <w:t xml:space="preserve"> de dato</w:t>
      </w:r>
      <w:r w:rsidR="00EF3432" w:rsidRPr="004548A0">
        <w:rPr>
          <w:rFonts w:asciiTheme="majorHAnsi" w:hAnsiTheme="majorHAnsi" w:cs="Arial"/>
          <w:bCs/>
          <w:sz w:val="24"/>
          <w:lang w:val="es-CR"/>
        </w:rPr>
        <w:t>s</w:t>
      </w:r>
      <w:r w:rsidR="00E304B3" w:rsidRPr="004548A0">
        <w:rPr>
          <w:rFonts w:asciiTheme="majorHAnsi" w:hAnsiTheme="majorHAnsi" w:cs="Arial"/>
          <w:bCs/>
          <w:sz w:val="24"/>
          <w:lang w:val="es-CR"/>
        </w:rPr>
        <w:t xml:space="preserve"> </w:t>
      </w:r>
      <w:r w:rsidR="00243024">
        <w:rPr>
          <w:rFonts w:asciiTheme="majorHAnsi" w:hAnsiTheme="majorHAnsi" w:cs="Arial"/>
          <w:bCs/>
          <w:sz w:val="24"/>
          <w:lang w:val="es-CR"/>
        </w:rPr>
        <w:t>mediante SICVECA</w:t>
      </w:r>
      <w:r w:rsidR="000E2D5E">
        <w:rPr>
          <w:rFonts w:asciiTheme="majorHAnsi" w:hAnsiTheme="majorHAnsi" w:cs="Arial"/>
          <w:bCs/>
          <w:sz w:val="24"/>
          <w:lang w:val="es-CR"/>
        </w:rPr>
        <w:t>,</w:t>
      </w:r>
      <w:r w:rsidR="00243024">
        <w:rPr>
          <w:rFonts w:asciiTheme="majorHAnsi" w:hAnsiTheme="majorHAnsi" w:cs="Arial"/>
          <w:bCs/>
          <w:sz w:val="24"/>
          <w:lang w:val="es-CR"/>
        </w:rPr>
        <w:t xml:space="preserve"> </w:t>
      </w:r>
      <w:r w:rsidR="000E2D5E">
        <w:rPr>
          <w:rFonts w:asciiTheme="majorHAnsi" w:hAnsiTheme="majorHAnsi" w:cs="Arial"/>
          <w:bCs/>
          <w:sz w:val="24"/>
          <w:lang w:val="es-CR"/>
        </w:rPr>
        <w:t>producto del reenvío d</w:t>
      </w:r>
      <w:r w:rsidR="00E304B3" w:rsidRPr="004548A0">
        <w:rPr>
          <w:rFonts w:asciiTheme="majorHAnsi" w:hAnsiTheme="majorHAnsi" w:cs="Arial"/>
          <w:bCs/>
          <w:sz w:val="24"/>
          <w:lang w:val="es-CR"/>
        </w:rPr>
        <w:t>el archivo descargable</w:t>
      </w:r>
      <w:r w:rsidR="000E2D5E">
        <w:rPr>
          <w:rFonts w:asciiTheme="majorHAnsi" w:hAnsiTheme="majorHAnsi" w:cs="Arial"/>
          <w:bCs/>
          <w:sz w:val="24"/>
          <w:lang w:val="es-CR"/>
        </w:rPr>
        <w:t xml:space="preserve"> con corte al 31 de agosto del 2015</w:t>
      </w:r>
      <w:r w:rsidR="00E304B3" w:rsidRPr="004548A0">
        <w:rPr>
          <w:rFonts w:asciiTheme="majorHAnsi" w:hAnsiTheme="majorHAnsi" w:cs="Arial"/>
          <w:bCs/>
          <w:sz w:val="24"/>
          <w:lang w:val="es-CR"/>
        </w:rPr>
        <w:t>.</w:t>
      </w:r>
    </w:p>
    <w:p w14:paraId="5E059C57" w14:textId="77777777" w:rsidR="00454CF0" w:rsidRPr="004548A0" w:rsidRDefault="00454CF0" w:rsidP="00454CF0">
      <w:pPr>
        <w:ind w:left="851" w:hanging="851"/>
        <w:rPr>
          <w:rFonts w:asciiTheme="majorHAnsi" w:hAnsiTheme="majorHAnsi" w:cs="Arial"/>
          <w:bCs/>
          <w:sz w:val="24"/>
          <w:lang w:val="es-CR"/>
        </w:rPr>
      </w:pPr>
    </w:p>
    <w:p w14:paraId="184BAFE4" w14:textId="77777777" w:rsidR="00C640D8" w:rsidRPr="00D01AD4" w:rsidRDefault="00C640D8" w:rsidP="00E304B3">
      <w:pPr>
        <w:jc w:val="center"/>
        <w:rPr>
          <w:rFonts w:asciiTheme="majorHAnsi" w:hAnsiTheme="majorHAnsi" w:cs="Arial"/>
          <w:b/>
          <w:bCs/>
          <w:sz w:val="28"/>
          <w:lang w:val="es-CR"/>
        </w:rPr>
      </w:pPr>
      <w:r w:rsidRPr="00D01AD4">
        <w:rPr>
          <w:rFonts w:asciiTheme="majorHAnsi" w:hAnsiTheme="majorHAnsi" w:cs="Arial"/>
          <w:b/>
          <w:bCs/>
          <w:sz w:val="28"/>
          <w:lang w:val="es-CR"/>
        </w:rPr>
        <w:t>El Intendente General de Entidades Financieras,</w:t>
      </w:r>
    </w:p>
    <w:p w14:paraId="2AA78217" w14:textId="77777777" w:rsidR="00C640D8" w:rsidRPr="004548A0" w:rsidRDefault="00C640D8" w:rsidP="00C640D8">
      <w:pPr>
        <w:rPr>
          <w:rFonts w:asciiTheme="majorHAnsi" w:hAnsiTheme="majorHAnsi" w:cs="Arial"/>
          <w:bCs/>
          <w:sz w:val="24"/>
          <w:lang w:val="es-CR"/>
        </w:rPr>
      </w:pPr>
    </w:p>
    <w:p w14:paraId="77367209" w14:textId="77777777" w:rsidR="00C640D8" w:rsidRPr="004548A0" w:rsidRDefault="00C640D8" w:rsidP="00C640D8">
      <w:pPr>
        <w:rPr>
          <w:rFonts w:asciiTheme="majorHAnsi" w:hAnsiTheme="majorHAnsi" w:cs="Arial"/>
          <w:b/>
          <w:sz w:val="24"/>
          <w:lang w:val="es-CR"/>
        </w:rPr>
      </w:pPr>
      <w:r w:rsidRPr="004548A0">
        <w:rPr>
          <w:rFonts w:asciiTheme="majorHAnsi" w:hAnsiTheme="majorHAnsi" w:cs="Arial"/>
          <w:b/>
          <w:bCs/>
          <w:sz w:val="24"/>
          <w:lang w:val="es-CR"/>
        </w:rPr>
        <w:t>Considerando que</w:t>
      </w:r>
      <w:r w:rsidRPr="004548A0">
        <w:rPr>
          <w:rFonts w:asciiTheme="majorHAnsi" w:hAnsiTheme="majorHAnsi" w:cs="Arial"/>
          <w:b/>
          <w:sz w:val="24"/>
          <w:lang w:val="es-CR"/>
        </w:rPr>
        <w:t>:</w:t>
      </w:r>
    </w:p>
    <w:p w14:paraId="7EC1C09F" w14:textId="77777777" w:rsidR="00C640D8" w:rsidRPr="004548A0" w:rsidRDefault="00C640D8" w:rsidP="00C640D8">
      <w:pPr>
        <w:rPr>
          <w:rFonts w:asciiTheme="majorHAnsi" w:hAnsiTheme="majorHAnsi" w:cs="Arial"/>
          <w:sz w:val="24"/>
          <w:lang w:val="es-CR"/>
        </w:rPr>
      </w:pPr>
    </w:p>
    <w:p w14:paraId="6A078F9E" w14:textId="77777777" w:rsidR="00C640D8" w:rsidRPr="004548A0" w:rsidRDefault="00C640D8" w:rsidP="00E304B3">
      <w:pPr>
        <w:pStyle w:val="Prrafodelista"/>
        <w:numPr>
          <w:ilvl w:val="0"/>
          <w:numId w:val="13"/>
        </w:numPr>
        <w:ind w:left="567" w:hanging="283"/>
        <w:jc w:val="both"/>
        <w:outlineLvl w:val="0"/>
        <w:rPr>
          <w:rFonts w:asciiTheme="majorHAnsi" w:hAnsiTheme="majorHAnsi"/>
          <w:lang w:val="es-CR"/>
        </w:rPr>
      </w:pPr>
      <w:r w:rsidRPr="004548A0">
        <w:rPr>
          <w:rFonts w:asciiTheme="majorHAnsi" w:hAnsiTheme="majorHAnsi"/>
          <w:lang w:val="es-CR"/>
        </w:rPr>
        <w:t>El artículo 14 del Acue</w:t>
      </w:r>
      <w:r w:rsidR="00454CF0" w:rsidRPr="004548A0">
        <w:rPr>
          <w:rFonts w:asciiTheme="majorHAnsi" w:hAnsiTheme="majorHAnsi"/>
          <w:lang w:val="es-CR"/>
        </w:rPr>
        <w:t>rdo SUGEF 7-06 “Reglamento del C</w:t>
      </w:r>
      <w:r w:rsidRPr="004548A0">
        <w:rPr>
          <w:rFonts w:asciiTheme="majorHAnsi" w:hAnsiTheme="majorHAnsi"/>
          <w:lang w:val="es-CR"/>
        </w:rPr>
        <w:t>entro de Información Crediticia” establece que</w:t>
      </w:r>
      <w:r w:rsidR="00454CF0" w:rsidRPr="004548A0">
        <w:rPr>
          <w:rFonts w:asciiTheme="majorHAnsi" w:hAnsiTheme="majorHAnsi"/>
          <w:lang w:val="es-CR"/>
        </w:rPr>
        <w:t xml:space="preserve"> </w:t>
      </w:r>
      <w:r w:rsidR="00454CF0" w:rsidRPr="004548A0">
        <w:rPr>
          <w:rFonts w:asciiTheme="majorHAnsi" w:hAnsiTheme="majorHAnsi"/>
          <w:i/>
          <w:lang w:val="es-CR"/>
        </w:rPr>
        <w:t>“…l</w:t>
      </w:r>
      <w:r w:rsidRPr="004548A0">
        <w:rPr>
          <w:rFonts w:asciiTheme="majorHAnsi" w:hAnsiTheme="majorHAnsi"/>
          <w:i/>
          <w:lang w:val="es-CR"/>
        </w:rPr>
        <w:t>a SUGEF debe poner a disposición de las entidades en forma oportuna la información de dominio público sobre sus deudores y fiadores necesaria para cumplir con la normativa prudencial vigente, según el Anexo.</w:t>
      </w:r>
      <w:r w:rsidR="004854DB" w:rsidRPr="004548A0">
        <w:rPr>
          <w:rFonts w:asciiTheme="majorHAnsi" w:hAnsiTheme="majorHAnsi"/>
          <w:i/>
          <w:lang w:val="es-CR"/>
        </w:rPr>
        <w:t xml:space="preserve"> </w:t>
      </w:r>
      <w:r w:rsidRPr="004548A0">
        <w:rPr>
          <w:rFonts w:asciiTheme="majorHAnsi" w:hAnsiTheme="majorHAnsi"/>
          <w:i/>
          <w:lang w:val="es-CR"/>
        </w:rPr>
        <w:t xml:space="preserve">Asimismo, la SUGEF debe poner a disposición de las </w:t>
      </w:r>
      <w:r w:rsidRPr="004548A0">
        <w:rPr>
          <w:rFonts w:asciiTheme="majorHAnsi" w:hAnsiTheme="majorHAnsi"/>
          <w:i/>
          <w:lang w:val="es-CR"/>
        </w:rPr>
        <w:lastRenderedPageBreak/>
        <w:t>entidades archivos descargables con información sobre el nivel de comportamiento de pago histórico de sus clientes, a más tardar el decimosexto día hábil de cada mes</w:t>
      </w:r>
      <w:r w:rsidRPr="004548A0">
        <w:rPr>
          <w:rFonts w:asciiTheme="majorHAnsi" w:hAnsiTheme="majorHAnsi"/>
          <w:lang w:val="es-CR"/>
        </w:rPr>
        <w:t>”.</w:t>
      </w:r>
    </w:p>
    <w:p w14:paraId="3F1D83FB" w14:textId="77777777" w:rsidR="00C640D8" w:rsidRPr="004548A0" w:rsidRDefault="00C640D8" w:rsidP="00E304B3">
      <w:pPr>
        <w:ind w:left="567" w:hanging="283"/>
        <w:outlineLvl w:val="0"/>
        <w:rPr>
          <w:rFonts w:asciiTheme="majorHAnsi" w:hAnsiTheme="majorHAnsi"/>
          <w:sz w:val="24"/>
          <w:lang w:val="es-CR"/>
        </w:rPr>
      </w:pPr>
    </w:p>
    <w:p w14:paraId="6A5CF704" w14:textId="77777777" w:rsidR="00C640D8" w:rsidRPr="004548A0" w:rsidRDefault="00C640D8" w:rsidP="00E304B3">
      <w:pPr>
        <w:pStyle w:val="Prrafodelista"/>
        <w:numPr>
          <w:ilvl w:val="0"/>
          <w:numId w:val="13"/>
        </w:numPr>
        <w:ind w:left="567" w:hanging="283"/>
        <w:jc w:val="both"/>
        <w:outlineLvl w:val="0"/>
        <w:rPr>
          <w:rFonts w:asciiTheme="majorHAnsi" w:hAnsiTheme="majorHAnsi"/>
          <w:lang w:val="es-CR"/>
        </w:rPr>
      </w:pPr>
      <w:r w:rsidRPr="004548A0">
        <w:rPr>
          <w:rFonts w:asciiTheme="majorHAnsi" w:hAnsiTheme="majorHAnsi"/>
          <w:lang w:val="es-CR"/>
        </w:rPr>
        <w:t xml:space="preserve">En la remisión del archivo descargable con información remitida por las entidades con corte a agosto del 2015, </w:t>
      </w:r>
      <w:r w:rsidR="00E304B3" w:rsidRPr="004548A0">
        <w:rPr>
          <w:rFonts w:asciiTheme="majorHAnsi" w:hAnsiTheme="majorHAnsi"/>
          <w:lang w:val="es-CR"/>
        </w:rPr>
        <w:t xml:space="preserve">la cual se realizó el </w:t>
      </w:r>
      <w:r w:rsidRPr="004548A0">
        <w:rPr>
          <w:rFonts w:asciiTheme="majorHAnsi" w:hAnsiTheme="majorHAnsi"/>
          <w:lang w:val="es-CR"/>
        </w:rPr>
        <w:t>23 de setiembre del 2015, se identificaron errores en su contenido que obligaron a su reenvío el 1º de octubre del 2015.</w:t>
      </w:r>
    </w:p>
    <w:p w14:paraId="0B7D558F" w14:textId="77777777" w:rsidR="00C640D8" w:rsidRPr="004548A0" w:rsidRDefault="00C640D8" w:rsidP="00E304B3">
      <w:pPr>
        <w:ind w:left="567" w:hanging="283"/>
        <w:outlineLvl w:val="0"/>
        <w:rPr>
          <w:rFonts w:asciiTheme="majorHAnsi" w:hAnsiTheme="majorHAnsi"/>
          <w:sz w:val="24"/>
          <w:lang w:val="es-CR"/>
        </w:rPr>
      </w:pPr>
    </w:p>
    <w:p w14:paraId="62480126" w14:textId="77777777" w:rsidR="00C640D8" w:rsidRDefault="004854DB" w:rsidP="00E304B3">
      <w:pPr>
        <w:pStyle w:val="Prrafodelista"/>
        <w:numPr>
          <w:ilvl w:val="0"/>
          <w:numId w:val="13"/>
        </w:numPr>
        <w:ind w:left="567" w:hanging="283"/>
        <w:jc w:val="both"/>
        <w:outlineLvl w:val="0"/>
        <w:rPr>
          <w:rFonts w:asciiTheme="majorHAnsi" w:hAnsiTheme="majorHAnsi"/>
          <w:lang w:val="es-CR"/>
        </w:rPr>
      </w:pPr>
      <w:r w:rsidRPr="004548A0">
        <w:rPr>
          <w:rFonts w:asciiTheme="majorHAnsi" w:hAnsiTheme="majorHAnsi"/>
          <w:lang w:val="es-CR"/>
        </w:rPr>
        <w:t>Dado lo establecido en el considerando anterior, r</w:t>
      </w:r>
      <w:r w:rsidR="00C640D8" w:rsidRPr="004548A0">
        <w:rPr>
          <w:rFonts w:asciiTheme="majorHAnsi" w:hAnsiTheme="majorHAnsi"/>
          <w:lang w:val="es-CR"/>
        </w:rPr>
        <w:t xml:space="preserve">esulta </w:t>
      </w:r>
      <w:r w:rsidR="00454CF0" w:rsidRPr="004548A0">
        <w:rPr>
          <w:rFonts w:asciiTheme="majorHAnsi" w:hAnsiTheme="majorHAnsi"/>
          <w:lang w:val="es-CR"/>
        </w:rPr>
        <w:t>conveniente</w:t>
      </w:r>
      <w:r w:rsidR="00C640D8" w:rsidRPr="004548A0">
        <w:rPr>
          <w:rFonts w:asciiTheme="majorHAnsi" w:hAnsiTheme="majorHAnsi"/>
          <w:lang w:val="es-CR"/>
        </w:rPr>
        <w:t xml:space="preserve"> </w:t>
      </w:r>
      <w:r w:rsidR="00454CF0" w:rsidRPr="004548A0">
        <w:rPr>
          <w:rFonts w:asciiTheme="majorHAnsi" w:hAnsiTheme="majorHAnsi"/>
          <w:lang w:val="es-CR"/>
        </w:rPr>
        <w:t xml:space="preserve">otorgar </w:t>
      </w:r>
      <w:r w:rsidR="00841E87">
        <w:rPr>
          <w:rFonts w:asciiTheme="majorHAnsi" w:hAnsiTheme="majorHAnsi"/>
          <w:lang w:val="es-CR"/>
        </w:rPr>
        <w:t xml:space="preserve">una prórroga equivalente a los </w:t>
      </w:r>
      <w:r w:rsidR="00C640D8" w:rsidRPr="004548A0">
        <w:rPr>
          <w:rFonts w:asciiTheme="majorHAnsi" w:hAnsiTheme="majorHAnsi"/>
          <w:lang w:val="es-CR"/>
        </w:rPr>
        <w:t>días transcurridos entre el envío con información incompleta y el día en que se corrigió el error (6 días hábiles), de manera que las entidades cuenten con el tiempo suficiente para remitir la información</w:t>
      </w:r>
      <w:r w:rsidR="00D829C0" w:rsidRPr="004548A0">
        <w:rPr>
          <w:rFonts w:asciiTheme="majorHAnsi" w:hAnsiTheme="majorHAnsi"/>
          <w:lang w:val="es-CR"/>
        </w:rPr>
        <w:t>,</w:t>
      </w:r>
      <w:r w:rsidR="00C640D8" w:rsidRPr="004548A0">
        <w:rPr>
          <w:rFonts w:asciiTheme="majorHAnsi" w:hAnsiTheme="majorHAnsi"/>
          <w:lang w:val="es-CR"/>
        </w:rPr>
        <w:t xml:space="preserve"> </w:t>
      </w:r>
      <w:r w:rsidR="00D829C0" w:rsidRPr="004548A0">
        <w:rPr>
          <w:rFonts w:asciiTheme="majorHAnsi" w:hAnsiTheme="majorHAnsi"/>
          <w:lang w:val="es-CR"/>
        </w:rPr>
        <w:t xml:space="preserve">con corte al 30 de setiembre del 2015, </w:t>
      </w:r>
      <w:r w:rsidR="00C640D8" w:rsidRPr="004548A0">
        <w:rPr>
          <w:rFonts w:asciiTheme="majorHAnsi" w:hAnsiTheme="majorHAnsi"/>
          <w:lang w:val="es-CR"/>
        </w:rPr>
        <w:t xml:space="preserve">de </w:t>
      </w:r>
      <w:r w:rsidR="00EF3432" w:rsidRPr="004548A0">
        <w:rPr>
          <w:rFonts w:asciiTheme="majorHAnsi" w:hAnsiTheme="majorHAnsi"/>
          <w:lang w:val="es-CR"/>
        </w:rPr>
        <w:t xml:space="preserve">los </w:t>
      </w:r>
      <w:r w:rsidR="00C640D8" w:rsidRPr="004548A0">
        <w:rPr>
          <w:rFonts w:asciiTheme="majorHAnsi" w:hAnsiTheme="majorHAnsi"/>
          <w:lang w:val="es-CR"/>
        </w:rPr>
        <w:t xml:space="preserve">XML </w:t>
      </w:r>
      <w:r w:rsidR="00EF3432" w:rsidRPr="004548A0">
        <w:rPr>
          <w:rFonts w:asciiTheme="majorHAnsi" w:hAnsiTheme="majorHAnsi"/>
          <w:lang w:val="es-CR"/>
        </w:rPr>
        <w:t xml:space="preserve">de las clases de datos </w:t>
      </w:r>
      <w:r w:rsidR="000E2D5E">
        <w:rPr>
          <w:rFonts w:asciiTheme="majorHAnsi" w:hAnsiTheme="majorHAnsi"/>
          <w:lang w:val="es-CR"/>
        </w:rPr>
        <w:t>que se detallan en la tabla incluida en el “</w:t>
      </w:r>
      <w:r w:rsidR="000E2D5E" w:rsidRPr="000E2D5E">
        <w:rPr>
          <w:rFonts w:asciiTheme="majorHAnsi" w:hAnsiTheme="majorHAnsi"/>
          <w:i/>
          <w:lang w:val="es-CR"/>
        </w:rPr>
        <w:t>Dispone</w:t>
      </w:r>
      <w:r w:rsidR="000E2D5E">
        <w:rPr>
          <w:rFonts w:asciiTheme="majorHAnsi" w:hAnsiTheme="majorHAnsi"/>
          <w:lang w:val="es-CR"/>
        </w:rPr>
        <w:t>” de esta circular</w:t>
      </w:r>
      <w:r w:rsidR="00C640D8" w:rsidRPr="004548A0">
        <w:rPr>
          <w:rFonts w:asciiTheme="majorHAnsi" w:hAnsiTheme="majorHAnsi"/>
          <w:lang w:val="es-CR"/>
        </w:rPr>
        <w:t>.</w:t>
      </w:r>
    </w:p>
    <w:p w14:paraId="7F610377" w14:textId="77777777" w:rsidR="000E2D5E" w:rsidRPr="000E2D5E" w:rsidRDefault="000E2D5E" w:rsidP="000E2D5E">
      <w:pPr>
        <w:pStyle w:val="Prrafodelista"/>
        <w:rPr>
          <w:rFonts w:asciiTheme="majorHAnsi" w:hAnsiTheme="majorHAnsi"/>
          <w:lang w:val="es-CR"/>
        </w:rPr>
      </w:pPr>
    </w:p>
    <w:p w14:paraId="47CEE550" w14:textId="77777777" w:rsidR="000E2D5E" w:rsidRDefault="000E2D5E" w:rsidP="000E2D5E">
      <w:pPr>
        <w:pStyle w:val="Prrafodelista"/>
        <w:ind w:left="567"/>
        <w:jc w:val="both"/>
        <w:outlineLvl w:val="0"/>
        <w:rPr>
          <w:rFonts w:asciiTheme="majorHAnsi" w:hAnsiTheme="majorHAnsi"/>
          <w:lang w:val="es-CR"/>
        </w:rPr>
      </w:pPr>
      <w:r>
        <w:rPr>
          <w:rFonts w:asciiTheme="majorHAnsi" w:hAnsiTheme="majorHAnsi"/>
          <w:lang w:val="es-CR"/>
        </w:rPr>
        <w:t>En el caso de las clases de datos “</w:t>
      </w:r>
      <w:r w:rsidRPr="00841E87">
        <w:rPr>
          <w:rFonts w:asciiTheme="majorHAnsi" w:hAnsiTheme="majorHAnsi"/>
          <w:i/>
          <w:lang w:val="es-CR"/>
        </w:rPr>
        <w:t>Crediticio</w:t>
      </w:r>
      <w:r>
        <w:rPr>
          <w:rFonts w:asciiTheme="majorHAnsi" w:hAnsiTheme="majorHAnsi"/>
          <w:lang w:val="es-CR"/>
        </w:rPr>
        <w:t>” y “</w:t>
      </w:r>
      <w:r w:rsidRPr="00841E87">
        <w:rPr>
          <w:rFonts w:asciiTheme="majorHAnsi" w:hAnsiTheme="majorHAnsi"/>
          <w:i/>
          <w:lang w:val="es-CR"/>
        </w:rPr>
        <w:t>Garantías</w:t>
      </w:r>
      <w:r>
        <w:rPr>
          <w:rFonts w:asciiTheme="majorHAnsi" w:hAnsiTheme="majorHAnsi"/>
          <w:lang w:val="es-CR"/>
        </w:rPr>
        <w:t>” se otorga una prórroga de tres días hábiles, con la finalidad de mitigar el impacto</w:t>
      </w:r>
      <w:r w:rsidR="00841E87">
        <w:rPr>
          <w:rFonts w:asciiTheme="majorHAnsi" w:hAnsiTheme="majorHAnsi"/>
          <w:lang w:val="es-CR"/>
        </w:rPr>
        <w:t xml:space="preserve"> de las prórrogas indicadas en el párrafo anterior en la</w:t>
      </w:r>
      <w:r>
        <w:rPr>
          <w:rFonts w:asciiTheme="majorHAnsi" w:hAnsiTheme="majorHAnsi"/>
          <w:lang w:val="es-CR"/>
        </w:rPr>
        <w:t xml:space="preserve"> puesta a disposición de los archivos descargables correspondientes al corte de setiembre del 2015.</w:t>
      </w:r>
    </w:p>
    <w:p w14:paraId="67401C48" w14:textId="77777777" w:rsidR="00CF4542" w:rsidRDefault="00CF4542" w:rsidP="000E2D5E">
      <w:pPr>
        <w:pStyle w:val="Prrafodelista"/>
        <w:ind w:left="567"/>
        <w:jc w:val="both"/>
        <w:outlineLvl w:val="0"/>
        <w:rPr>
          <w:rFonts w:asciiTheme="majorHAnsi" w:hAnsiTheme="majorHAnsi"/>
          <w:lang w:val="es-CR"/>
        </w:rPr>
      </w:pPr>
    </w:p>
    <w:p w14:paraId="2189D76A" w14:textId="77777777" w:rsidR="00CF4542" w:rsidRDefault="00CF4542" w:rsidP="00E21145">
      <w:pPr>
        <w:pStyle w:val="Prrafodelista"/>
        <w:numPr>
          <w:ilvl w:val="0"/>
          <w:numId w:val="13"/>
        </w:numPr>
        <w:ind w:left="567" w:hanging="283"/>
        <w:jc w:val="both"/>
        <w:outlineLvl w:val="0"/>
        <w:rPr>
          <w:rFonts w:asciiTheme="majorHAnsi" w:hAnsiTheme="majorHAnsi"/>
          <w:lang w:val="es-CR"/>
        </w:rPr>
      </w:pPr>
      <w:r>
        <w:rPr>
          <w:rFonts w:asciiTheme="majorHAnsi" w:hAnsiTheme="majorHAnsi"/>
          <w:lang w:val="es-CR"/>
        </w:rPr>
        <w:t xml:space="preserve">Las prórrogas señaladas en el numeral anterior impiden poner a </w:t>
      </w:r>
      <w:r w:rsidRPr="00CF4542">
        <w:rPr>
          <w:rFonts w:asciiTheme="majorHAnsi" w:hAnsiTheme="majorHAnsi"/>
          <w:lang w:val="es-CR"/>
        </w:rPr>
        <w:t>disposición de las entidades</w:t>
      </w:r>
      <w:r w:rsidR="00841E87">
        <w:rPr>
          <w:rFonts w:asciiTheme="majorHAnsi" w:hAnsiTheme="majorHAnsi"/>
          <w:lang w:val="es-CR"/>
        </w:rPr>
        <w:t xml:space="preserve"> el </w:t>
      </w:r>
      <w:r w:rsidRPr="00CF4542">
        <w:rPr>
          <w:rFonts w:asciiTheme="majorHAnsi" w:hAnsiTheme="majorHAnsi"/>
          <w:lang w:val="es-CR"/>
        </w:rPr>
        <w:t xml:space="preserve">archivos descargable con información sobre el nivel de comportamiento de pago histórico de sus </w:t>
      </w:r>
      <w:r w:rsidRPr="00CF4542">
        <w:rPr>
          <w:rFonts w:asciiTheme="majorHAnsi" w:hAnsiTheme="majorHAnsi"/>
          <w:lang w:val="es-CR"/>
        </w:rPr>
        <w:lastRenderedPageBreak/>
        <w:t>clientes</w:t>
      </w:r>
      <w:r w:rsidR="00841E87">
        <w:rPr>
          <w:rFonts w:asciiTheme="majorHAnsi" w:hAnsiTheme="majorHAnsi"/>
          <w:lang w:val="es-CR"/>
        </w:rPr>
        <w:t xml:space="preserve"> con corte a setiembre del 2015</w:t>
      </w:r>
      <w:r>
        <w:rPr>
          <w:rFonts w:asciiTheme="majorHAnsi" w:hAnsiTheme="majorHAnsi"/>
          <w:lang w:val="es-CR"/>
        </w:rPr>
        <w:t xml:space="preserve"> en el </w:t>
      </w:r>
      <w:r w:rsidR="00841E87">
        <w:rPr>
          <w:rFonts w:asciiTheme="majorHAnsi" w:hAnsiTheme="majorHAnsi"/>
          <w:lang w:val="es-CR"/>
        </w:rPr>
        <w:t>plazo establecido en el aludido artículo 14 del Acuerdo SUGEF 7-06</w:t>
      </w:r>
      <w:r>
        <w:rPr>
          <w:rFonts w:asciiTheme="majorHAnsi" w:hAnsiTheme="majorHAnsi"/>
          <w:lang w:val="es-CR"/>
        </w:rPr>
        <w:t>, por lo cual se</w:t>
      </w:r>
      <w:r w:rsidR="00841E87">
        <w:rPr>
          <w:rFonts w:asciiTheme="majorHAnsi" w:hAnsiTheme="majorHAnsi"/>
          <w:lang w:val="es-CR"/>
        </w:rPr>
        <w:t xml:space="preserve"> </w:t>
      </w:r>
      <w:r>
        <w:rPr>
          <w:rFonts w:asciiTheme="majorHAnsi" w:hAnsiTheme="majorHAnsi"/>
          <w:lang w:val="es-CR"/>
        </w:rPr>
        <w:t>requiere prorrogar su publicación</w:t>
      </w:r>
      <w:r w:rsidR="00841E87">
        <w:rPr>
          <w:rFonts w:asciiTheme="majorHAnsi" w:hAnsiTheme="majorHAnsi"/>
          <w:lang w:val="es-CR"/>
        </w:rPr>
        <w:t xml:space="preserve"> en</w:t>
      </w:r>
      <w:r>
        <w:rPr>
          <w:rFonts w:asciiTheme="majorHAnsi" w:hAnsiTheme="majorHAnsi"/>
          <w:lang w:val="es-CR"/>
        </w:rPr>
        <w:t xml:space="preserve"> un día hábil.</w:t>
      </w:r>
    </w:p>
    <w:p w14:paraId="4019CE81" w14:textId="77777777" w:rsidR="00CF4542" w:rsidRPr="004548A0" w:rsidRDefault="00CF4542" w:rsidP="000E2D5E">
      <w:pPr>
        <w:pStyle w:val="Prrafodelista"/>
        <w:ind w:left="567"/>
        <w:jc w:val="both"/>
        <w:outlineLvl w:val="0"/>
        <w:rPr>
          <w:rFonts w:asciiTheme="majorHAnsi" w:hAnsiTheme="majorHAnsi"/>
          <w:lang w:val="es-CR"/>
        </w:rPr>
      </w:pPr>
    </w:p>
    <w:p w14:paraId="520D87A7" w14:textId="77777777" w:rsidR="00C640D8" w:rsidRPr="004548A0" w:rsidRDefault="00C640D8" w:rsidP="00C640D8">
      <w:pPr>
        <w:rPr>
          <w:rFonts w:asciiTheme="majorHAnsi" w:hAnsiTheme="majorHAnsi"/>
          <w:b/>
          <w:sz w:val="24"/>
          <w:lang w:val="es-CR"/>
        </w:rPr>
      </w:pPr>
      <w:r w:rsidRPr="004548A0">
        <w:rPr>
          <w:rFonts w:asciiTheme="majorHAnsi" w:hAnsiTheme="majorHAnsi"/>
          <w:b/>
          <w:bCs/>
          <w:sz w:val="24"/>
          <w:lang w:val="es-CR"/>
        </w:rPr>
        <w:t>Dispone</w:t>
      </w:r>
      <w:r w:rsidRPr="004548A0">
        <w:rPr>
          <w:rFonts w:asciiTheme="majorHAnsi" w:hAnsiTheme="majorHAnsi"/>
          <w:b/>
          <w:sz w:val="24"/>
          <w:lang w:val="es-CR"/>
        </w:rPr>
        <w:t>:</w:t>
      </w:r>
    </w:p>
    <w:p w14:paraId="6C1A0069" w14:textId="77777777" w:rsidR="00C640D8" w:rsidRPr="004548A0" w:rsidRDefault="00C640D8" w:rsidP="00C640D8">
      <w:pPr>
        <w:rPr>
          <w:rFonts w:asciiTheme="majorHAnsi" w:hAnsiTheme="majorHAnsi"/>
          <w:sz w:val="24"/>
          <w:lang w:val="es-CR"/>
        </w:rPr>
      </w:pPr>
    </w:p>
    <w:p w14:paraId="3C8EA7D1" w14:textId="77777777" w:rsidR="00C640D8" w:rsidRPr="00CF4542" w:rsidRDefault="00E304B3" w:rsidP="00CF4542">
      <w:pPr>
        <w:pStyle w:val="Prrafodelista"/>
        <w:numPr>
          <w:ilvl w:val="0"/>
          <w:numId w:val="14"/>
        </w:numPr>
        <w:jc w:val="both"/>
        <w:outlineLvl w:val="0"/>
        <w:rPr>
          <w:rFonts w:asciiTheme="majorHAnsi" w:hAnsiTheme="majorHAnsi"/>
          <w:lang w:val="es-CR"/>
        </w:rPr>
      </w:pPr>
      <w:r w:rsidRPr="00CF4542">
        <w:rPr>
          <w:rFonts w:asciiTheme="majorHAnsi" w:hAnsiTheme="majorHAnsi"/>
          <w:lang w:val="es-CR"/>
        </w:rPr>
        <w:t>Conceder una prórroga de seis (6) días hábiles</w:t>
      </w:r>
      <w:r w:rsidR="00D01AD4" w:rsidRPr="00CF4542">
        <w:rPr>
          <w:rFonts w:asciiTheme="majorHAnsi" w:hAnsiTheme="majorHAnsi"/>
          <w:lang w:val="es-CR"/>
        </w:rPr>
        <w:t xml:space="preserve"> o natura</w:t>
      </w:r>
      <w:r w:rsidR="00243024" w:rsidRPr="00CF4542">
        <w:rPr>
          <w:rFonts w:asciiTheme="majorHAnsi" w:hAnsiTheme="majorHAnsi"/>
          <w:lang w:val="es-CR"/>
        </w:rPr>
        <w:t>les</w:t>
      </w:r>
      <w:r w:rsidR="00167263">
        <w:rPr>
          <w:rFonts w:asciiTheme="majorHAnsi" w:hAnsiTheme="majorHAnsi"/>
          <w:lang w:val="es-CR"/>
        </w:rPr>
        <w:t>,</w:t>
      </w:r>
      <w:r w:rsidR="00243024" w:rsidRPr="00CF4542">
        <w:rPr>
          <w:rFonts w:asciiTheme="majorHAnsi" w:hAnsiTheme="majorHAnsi"/>
          <w:lang w:val="es-CR"/>
        </w:rPr>
        <w:t xml:space="preserve"> según corresponda,</w:t>
      </w:r>
      <w:r w:rsidRPr="00CF4542">
        <w:rPr>
          <w:rFonts w:asciiTheme="majorHAnsi" w:hAnsiTheme="majorHAnsi"/>
          <w:lang w:val="es-CR"/>
        </w:rPr>
        <w:t xml:space="preserve"> para la remisión de </w:t>
      </w:r>
      <w:r w:rsidR="00EF3432" w:rsidRPr="00CF4542">
        <w:rPr>
          <w:rFonts w:asciiTheme="majorHAnsi" w:hAnsiTheme="majorHAnsi"/>
          <w:lang w:val="es-CR"/>
        </w:rPr>
        <w:t xml:space="preserve">las </w:t>
      </w:r>
      <w:r w:rsidR="00CF4542">
        <w:rPr>
          <w:rFonts w:asciiTheme="majorHAnsi" w:hAnsiTheme="majorHAnsi"/>
          <w:lang w:val="es-CR"/>
        </w:rPr>
        <w:t xml:space="preserve">siguientes </w:t>
      </w:r>
      <w:r w:rsidR="00EF3432" w:rsidRPr="00CF4542">
        <w:rPr>
          <w:rFonts w:asciiTheme="majorHAnsi" w:hAnsiTheme="majorHAnsi"/>
          <w:lang w:val="es-CR"/>
        </w:rPr>
        <w:t>clases de datos</w:t>
      </w:r>
      <w:r w:rsidR="00454CF0" w:rsidRPr="00CF4542">
        <w:rPr>
          <w:rFonts w:asciiTheme="majorHAnsi" w:hAnsiTheme="majorHAnsi"/>
          <w:lang w:val="es-CR"/>
        </w:rPr>
        <w:t>,</w:t>
      </w:r>
      <w:r w:rsidR="00C640D8" w:rsidRPr="00CF4542">
        <w:rPr>
          <w:rFonts w:asciiTheme="majorHAnsi" w:hAnsiTheme="majorHAnsi"/>
          <w:lang w:val="es-CR"/>
        </w:rPr>
        <w:t xml:space="preserve"> en adición a las fechas establecidas</w:t>
      </w:r>
      <w:r w:rsidRPr="00CF4542">
        <w:rPr>
          <w:rFonts w:asciiTheme="majorHAnsi" w:hAnsiTheme="majorHAnsi"/>
          <w:lang w:val="es-CR"/>
        </w:rPr>
        <w:t xml:space="preserve"> en el </w:t>
      </w:r>
      <w:r w:rsidR="00322633" w:rsidRPr="00CF4542">
        <w:rPr>
          <w:rFonts w:asciiTheme="majorHAnsi" w:hAnsiTheme="majorHAnsi"/>
          <w:lang w:val="es-CR"/>
        </w:rPr>
        <w:t>“</w:t>
      </w:r>
      <w:r w:rsidR="00322633" w:rsidRPr="00CF4542">
        <w:rPr>
          <w:rFonts w:asciiTheme="majorHAnsi" w:hAnsiTheme="majorHAnsi"/>
          <w:i/>
          <w:lang w:val="es-CR"/>
        </w:rPr>
        <w:t>M</w:t>
      </w:r>
      <w:r w:rsidRPr="00CF4542">
        <w:rPr>
          <w:rFonts w:asciiTheme="majorHAnsi" w:hAnsiTheme="majorHAnsi"/>
          <w:i/>
          <w:lang w:val="es-CR"/>
        </w:rPr>
        <w:t>anual</w:t>
      </w:r>
      <w:r w:rsidR="00322633" w:rsidRPr="00CF4542">
        <w:rPr>
          <w:rFonts w:asciiTheme="majorHAnsi" w:hAnsiTheme="majorHAnsi"/>
          <w:i/>
          <w:lang w:val="es-CR"/>
        </w:rPr>
        <w:t xml:space="preserve"> de Información </w:t>
      </w:r>
      <w:r w:rsidRPr="00CF4542">
        <w:rPr>
          <w:rFonts w:asciiTheme="majorHAnsi" w:hAnsiTheme="majorHAnsi"/>
          <w:i/>
          <w:lang w:val="es-CR"/>
        </w:rPr>
        <w:t>SICVECA</w:t>
      </w:r>
      <w:r w:rsidR="00322633" w:rsidRPr="00CF4542">
        <w:rPr>
          <w:rFonts w:asciiTheme="majorHAnsi" w:hAnsiTheme="majorHAnsi"/>
          <w:lang w:val="es-CR"/>
        </w:rPr>
        <w:t>”</w:t>
      </w:r>
      <w:r w:rsidR="00D01AD4" w:rsidRPr="00CF4542">
        <w:rPr>
          <w:rFonts w:asciiTheme="majorHAnsi" w:hAnsiTheme="majorHAnsi"/>
          <w:lang w:val="es-CR"/>
        </w:rPr>
        <w:t>:</w:t>
      </w:r>
    </w:p>
    <w:tbl>
      <w:tblPr>
        <w:tblW w:w="935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4186"/>
        <w:gridCol w:w="2760"/>
      </w:tblGrid>
      <w:tr w:rsidR="00243024" w:rsidRPr="00923EE2" w14:paraId="667FCA46" w14:textId="77777777" w:rsidTr="00823E33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0AD94" w14:textId="77777777" w:rsidR="00243024" w:rsidRPr="00243024" w:rsidRDefault="00243024" w:rsidP="003739FB">
            <w:pPr>
              <w:spacing w:line="240" w:lineRule="auto"/>
              <w:jc w:val="center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Clase de datos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003AC" w14:textId="77777777" w:rsidR="00243024" w:rsidRPr="00243024" w:rsidRDefault="00243024" w:rsidP="003739FB">
            <w:pPr>
              <w:spacing w:line="240" w:lineRule="auto"/>
              <w:jc w:val="center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Entrega de la información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9AF87" w14:textId="77777777" w:rsidR="00243024" w:rsidRPr="00243024" w:rsidRDefault="00243024" w:rsidP="003739FB">
            <w:pPr>
              <w:spacing w:line="240" w:lineRule="auto"/>
              <w:jc w:val="center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 xml:space="preserve">Prórroga  para entrega de Información con corte a SETIEMBRE 2015 </w:t>
            </w:r>
          </w:p>
        </w:tc>
      </w:tr>
      <w:tr w:rsidR="00243024" w:rsidRPr="00923EE2" w14:paraId="3153130E" w14:textId="77777777" w:rsidTr="00823E3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BF90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Contable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2DF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el quinto día hábil del mes, según Acuerdo CONASSIF 1522-99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3DD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16 de octubre de 2015</w:t>
            </w:r>
          </w:p>
        </w:tc>
      </w:tr>
      <w:tr w:rsidR="00243024" w:rsidRPr="00923EE2" w14:paraId="20DC3FFA" w14:textId="77777777" w:rsidTr="00823E3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DDE5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Financiero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3EA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el quinto día hábil del mes, según Acuerdo CONASSIF 1522-99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D29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16 de octubre de 2015</w:t>
            </w:r>
          </w:p>
        </w:tc>
      </w:tr>
      <w:tr w:rsidR="00243024" w:rsidRPr="00923EE2" w14:paraId="5D26FDC5" w14:textId="77777777" w:rsidTr="00823E33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2ABE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Inversiones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B74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el sexto día hábil del mes, según Circular 017-2006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894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19 de octubre de 2015</w:t>
            </w:r>
          </w:p>
        </w:tc>
      </w:tr>
      <w:tr w:rsidR="00243024" w:rsidRPr="00923EE2" w14:paraId="03D72F93" w14:textId="77777777" w:rsidTr="00823E33"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5DC3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Pasivos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A98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se estableció para los días 6-7-8 día hábil del mes y para esto se establecieron tres grupos, según la Circulas 19-2013.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15F" w14:textId="564177AC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19,</w:t>
            </w:r>
            <w:r w:rsidR="00E33EE9">
              <w:rPr>
                <w:color w:val="000000"/>
                <w:lang w:eastAsia="es-CR"/>
              </w:rPr>
              <w:t xml:space="preserve"> </w:t>
            </w:r>
            <w:r w:rsidRPr="00243024">
              <w:rPr>
                <w:color w:val="000000"/>
                <w:lang w:eastAsia="es-CR"/>
              </w:rPr>
              <w:t>20 y 21 de octubre 2015 de acuerdo a  cada Grupo.</w:t>
            </w:r>
          </w:p>
        </w:tc>
      </w:tr>
      <w:tr w:rsidR="00243024" w:rsidRPr="00923EE2" w14:paraId="119047A2" w14:textId="77777777" w:rsidTr="00823E3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C782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Encaje mínimo legal (envío quincenal)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D68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el octavo día natural después de cada quincena, dicho plazo se encuentra establecido en la Regulación de Política Monetaria.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6E6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14 de octubre de 2015</w:t>
            </w:r>
          </w:p>
        </w:tc>
      </w:tr>
      <w:tr w:rsidR="00243024" w:rsidRPr="00923EE2" w14:paraId="7223584E" w14:textId="77777777" w:rsidTr="00823E33">
        <w:trPr>
          <w:trHeight w:val="6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D1EA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lastRenderedPageBreak/>
              <w:t>Derivados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376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el sexto día hábil del mes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D75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19 de octubre de 2015</w:t>
            </w:r>
          </w:p>
        </w:tc>
      </w:tr>
      <w:tr w:rsidR="00243024" w:rsidRPr="00923EE2" w14:paraId="426D2E6B" w14:textId="77777777" w:rsidTr="00823E33">
        <w:trPr>
          <w:trHeight w:val="6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A44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ICL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C20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el octavo día hábil del mes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745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21 de octubre de 2015</w:t>
            </w:r>
          </w:p>
        </w:tc>
      </w:tr>
      <w:tr w:rsidR="00243024" w:rsidRPr="00923EE2" w14:paraId="5688008E" w14:textId="77777777" w:rsidTr="00823E33">
        <w:trPr>
          <w:trHeight w:val="7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9C3B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 xml:space="preserve">Indicadores 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9B6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el octavo día hábil del mes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2B5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21 de octubre de 2015</w:t>
            </w:r>
          </w:p>
        </w:tc>
      </w:tr>
      <w:tr w:rsidR="00243024" w:rsidRPr="00923EE2" w14:paraId="7205E0A0" w14:textId="77777777" w:rsidTr="00823E3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2985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Grupos y Conglomerados Financieros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64D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trimestral, abril, julio, octubre y enero, según Acuerdo SUGEF 31-04, Art. 13 y 15.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0A5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6 de Noviembre de 2015</w:t>
            </w:r>
          </w:p>
        </w:tc>
      </w:tr>
      <w:tr w:rsidR="00243024" w:rsidRPr="00923EE2" w14:paraId="0BF8EC16" w14:textId="77777777" w:rsidTr="00823E33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4F89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Información Complementaria de Grupos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CE2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es trimestral, abril, julio, octubre y enero, según Acuerdo SUGEF 31-04, Art. 13 y 15.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C71" w14:textId="77777777" w:rsidR="00243024" w:rsidRPr="00243024" w:rsidRDefault="00243024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6 de Noviembre de 2015</w:t>
            </w:r>
          </w:p>
        </w:tc>
      </w:tr>
    </w:tbl>
    <w:p w14:paraId="11C04D65" w14:textId="77777777" w:rsidR="00CF4542" w:rsidRPr="00CF4542" w:rsidRDefault="00CF4542" w:rsidP="00CF4542">
      <w:pPr>
        <w:pStyle w:val="Prrafodelista"/>
        <w:numPr>
          <w:ilvl w:val="0"/>
          <w:numId w:val="14"/>
        </w:numPr>
        <w:jc w:val="both"/>
        <w:outlineLvl w:val="0"/>
        <w:rPr>
          <w:rFonts w:asciiTheme="majorHAnsi" w:hAnsiTheme="majorHAnsi"/>
          <w:lang w:val="es-CR"/>
        </w:rPr>
      </w:pPr>
      <w:r w:rsidRPr="00CF4542">
        <w:rPr>
          <w:rFonts w:asciiTheme="majorHAnsi" w:hAnsiTheme="majorHAnsi"/>
          <w:lang w:val="es-CR"/>
        </w:rPr>
        <w:t xml:space="preserve">Conceder una prórroga de </w:t>
      </w:r>
      <w:r>
        <w:rPr>
          <w:rFonts w:asciiTheme="majorHAnsi" w:hAnsiTheme="majorHAnsi"/>
          <w:lang w:val="es-CR"/>
        </w:rPr>
        <w:t xml:space="preserve">tres </w:t>
      </w:r>
      <w:r w:rsidRPr="00CF4542">
        <w:rPr>
          <w:rFonts w:asciiTheme="majorHAnsi" w:hAnsiTheme="majorHAnsi"/>
          <w:lang w:val="es-CR"/>
        </w:rPr>
        <w:t>(</w:t>
      </w:r>
      <w:r>
        <w:rPr>
          <w:rFonts w:asciiTheme="majorHAnsi" w:hAnsiTheme="majorHAnsi"/>
          <w:lang w:val="es-CR"/>
        </w:rPr>
        <w:t>3</w:t>
      </w:r>
      <w:r w:rsidRPr="00CF4542">
        <w:rPr>
          <w:rFonts w:asciiTheme="majorHAnsi" w:hAnsiTheme="majorHAnsi"/>
          <w:lang w:val="es-CR"/>
        </w:rPr>
        <w:t xml:space="preserve">) días hábiles, para la remisión de las </w:t>
      </w:r>
      <w:r>
        <w:rPr>
          <w:rFonts w:asciiTheme="majorHAnsi" w:hAnsiTheme="majorHAnsi"/>
          <w:lang w:val="es-CR"/>
        </w:rPr>
        <w:t xml:space="preserve">siguientes </w:t>
      </w:r>
      <w:r w:rsidRPr="00CF4542">
        <w:rPr>
          <w:rFonts w:asciiTheme="majorHAnsi" w:hAnsiTheme="majorHAnsi"/>
          <w:lang w:val="es-CR"/>
        </w:rPr>
        <w:t>clases de datos, en adición a las fechas establecidas en el “</w:t>
      </w:r>
      <w:r w:rsidRPr="00CF4542">
        <w:rPr>
          <w:rFonts w:asciiTheme="majorHAnsi" w:hAnsiTheme="majorHAnsi"/>
          <w:i/>
          <w:lang w:val="es-CR"/>
        </w:rPr>
        <w:t>Manual de Información SICVECA</w:t>
      </w:r>
      <w:r w:rsidRPr="00CF4542">
        <w:rPr>
          <w:rFonts w:asciiTheme="majorHAnsi" w:hAnsiTheme="majorHAnsi"/>
          <w:lang w:val="es-CR"/>
        </w:rPr>
        <w:t>” y el Artículo 26 del Acuerdo SUGEF 1-05 “</w:t>
      </w:r>
      <w:r w:rsidRPr="00CF4542">
        <w:rPr>
          <w:rFonts w:asciiTheme="majorHAnsi" w:hAnsiTheme="majorHAnsi"/>
          <w:i/>
          <w:lang w:val="es-CR"/>
        </w:rPr>
        <w:t>Reglamento para la calificación de deudores</w:t>
      </w:r>
      <w:r w:rsidRPr="00CF4542">
        <w:rPr>
          <w:rFonts w:asciiTheme="majorHAnsi" w:hAnsiTheme="majorHAnsi"/>
          <w:lang w:val="es-CR"/>
        </w:rPr>
        <w:t>”:</w:t>
      </w:r>
    </w:p>
    <w:p w14:paraId="1965E786" w14:textId="77777777" w:rsidR="00243024" w:rsidRDefault="00243024" w:rsidP="00C640D8">
      <w:pPr>
        <w:pStyle w:val="NormalWeb"/>
        <w:spacing w:before="0" w:beforeAutospacing="0" w:after="0" w:afterAutospacing="0"/>
        <w:ind w:left="567" w:hanging="567"/>
        <w:jc w:val="both"/>
        <w:rPr>
          <w:rFonts w:asciiTheme="majorHAnsi" w:hAnsiTheme="majorHAnsi"/>
          <w:lang w:val="es-CR"/>
        </w:rPr>
      </w:pPr>
    </w:p>
    <w:tbl>
      <w:tblPr>
        <w:tblW w:w="935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4186"/>
        <w:gridCol w:w="2760"/>
      </w:tblGrid>
      <w:tr w:rsidR="00CF4542" w:rsidRPr="00923EE2" w14:paraId="3FE3E878" w14:textId="77777777" w:rsidTr="00823E33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FAC42" w14:textId="77777777" w:rsidR="00CF4542" w:rsidRPr="00243024" w:rsidRDefault="00CF4542" w:rsidP="003739FB">
            <w:pPr>
              <w:spacing w:line="240" w:lineRule="auto"/>
              <w:jc w:val="center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Clase de datos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631A" w14:textId="77777777" w:rsidR="00CF4542" w:rsidRPr="00243024" w:rsidRDefault="00CF4542" w:rsidP="003739FB">
            <w:pPr>
              <w:spacing w:line="240" w:lineRule="auto"/>
              <w:jc w:val="center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Entrega de la información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6B17D" w14:textId="77777777" w:rsidR="00CF4542" w:rsidRPr="00243024" w:rsidRDefault="00CF4542" w:rsidP="003739FB">
            <w:pPr>
              <w:spacing w:line="240" w:lineRule="auto"/>
              <w:jc w:val="center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 xml:space="preserve">Prórroga  para entrega de Información con corte a SETIEMBRE 2015 </w:t>
            </w:r>
          </w:p>
        </w:tc>
      </w:tr>
      <w:tr w:rsidR="00CF4542" w:rsidRPr="00923EE2" w14:paraId="078D9894" w14:textId="77777777" w:rsidTr="0082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255A1831" w14:textId="77777777" w:rsidR="00CF4542" w:rsidRPr="00243024" w:rsidRDefault="00CF4542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Crediticio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14:paraId="0C5EC60D" w14:textId="77777777" w:rsidR="00CF4542" w:rsidRPr="00243024" w:rsidRDefault="00CF4542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se estableció para los días 9-10-11 día hábil del mes y para esto se establecieron tres grupos, según la Circulas 19-2013.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AE0A7AE" w14:textId="77777777" w:rsidR="00CF4542" w:rsidRPr="00243024" w:rsidRDefault="00036DA9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19,</w:t>
            </w:r>
            <w:r>
              <w:rPr>
                <w:color w:val="000000"/>
                <w:lang w:eastAsia="es-CR"/>
              </w:rPr>
              <w:t xml:space="preserve"> </w:t>
            </w:r>
            <w:r w:rsidRPr="00243024">
              <w:rPr>
                <w:color w:val="000000"/>
                <w:lang w:eastAsia="es-CR"/>
              </w:rPr>
              <w:t>20 y 21 de octubre 2015 de acuerdo a  cada Grupo.</w:t>
            </w:r>
          </w:p>
        </w:tc>
      </w:tr>
      <w:tr w:rsidR="00CF4542" w:rsidRPr="00923EE2" w14:paraId="31A08FE5" w14:textId="77777777" w:rsidTr="00823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14:paraId="5E231B7D" w14:textId="77777777" w:rsidR="00CF4542" w:rsidRPr="00243024" w:rsidRDefault="00CF4542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Garantías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14:paraId="03E26D52" w14:textId="77777777" w:rsidR="00CF4542" w:rsidRPr="00243024" w:rsidRDefault="00CF4542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El plazo de entrega se estableció para los días 9-10-11 día hábil del mes y para esto se establecieron tres grupos, según la Circulas 19-2013.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0888D47" w14:textId="77777777" w:rsidR="00CF4542" w:rsidRPr="00243024" w:rsidRDefault="00036DA9" w:rsidP="003739FB">
            <w:pPr>
              <w:spacing w:line="240" w:lineRule="auto"/>
              <w:rPr>
                <w:color w:val="000000"/>
                <w:lang w:eastAsia="es-CR"/>
              </w:rPr>
            </w:pPr>
            <w:r w:rsidRPr="00243024">
              <w:rPr>
                <w:color w:val="000000"/>
                <w:lang w:eastAsia="es-CR"/>
              </w:rPr>
              <w:t>Al 19,</w:t>
            </w:r>
            <w:r>
              <w:rPr>
                <w:color w:val="000000"/>
                <w:lang w:eastAsia="es-CR"/>
              </w:rPr>
              <w:t xml:space="preserve"> </w:t>
            </w:r>
            <w:r w:rsidRPr="00243024">
              <w:rPr>
                <w:color w:val="000000"/>
                <w:lang w:eastAsia="es-CR"/>
              </w:rPr>
              <w:t>20 y 21 de octubre 2015 de acuerdo a  cada Grupo.</w:t>
            </w:r>
          </w:p>
        </w:tc>
      </w:tr>
    </w:tbl>
    <w:p w14:paraId="77BD1962" w14:textId="77777777" w:rsidR="00CF4542" w:rsidRPr="00CF4542" w:rsidRDefault="00CF4542" w:rsidP="00C640D8">
      <w:pPr>
        <w:pStyle w:val="NormalWeb"/>
        <w:spacing w:before="0" w:beforeAutospacing="0" w:after="0" w:afterAutospacing="0"/>
        <w:ind w:left="567" w:hanging="567"/>
        <w:jc w:val="both"/>
        <w:rPr>
          <w:rFonts w:asciiTheme="majorHAnsi" w:hAnsiTheme="majorHAnsi"/>
        </w:rPr>
      </w:pPr>
    </w:p>
    <w:p w14:paraId="2C83B299" w14:textId="77777777" w:rsidR="00E21145" w:rsidRDefault="00167263" w:rsidP="00036DA9">
      <w:pPr>
        <w:pStyle w:val="Prrafodelista"/>
        <w:numPr>
          <w:ilvl w:val="0"/>
          <w:numId w:val="14"/>
        </w:numPr>
        <w:jc w:val="both"/>
        <w:outlineLvl w:val="0"/>
        <w:rPr>
          <w:rFonts w:asciiTheme="majorHAnsi" w:hAnsiTheme="majorHAnsi"/>
          <w:lang w:val="es-CR"/>
        </w:rPr>
      </w:pPr>
      <w:r>
        <w:rPr>
          <w:rFonts w:asciiTheme="majorHAnsi" w:hAnsiTheme="majorHAnsi"/>
          <w:lang w:val="es-CR"/>
        </w:rPr>
        <w:t>El</w:t>
      </w:r>
      <w:r w:rsidR="00036DA9">
        <w:rPr>
          <w:rFonts w:asciiTheme="majorHAnsi" w:hAnsiTheme="majorHAnsi"/>
          <w:lang w:val="es-CR"/>
        </w:rPr>
        <w:t xml:space="preserve"> </w:t>
      </w:r>
      <w:r w:rsidR="00036DA9" w:rsidRPr="00036DA9">
        <w:rPr>
          <w:rFonts w:asciiTheme="majorHAnsi" w:hAnsiTheme="majorHAnsi"/>
          <w:lang w:val="es-CR"/>
        </w:rPr>
        <w:t xml:space="preserve">archivo descargable con información sobre el nivel de comportamiento de pago histórico de sus clientes </w:t>
      </w:r>
      <w:r w:rsidR="00036DA9">
        <w:rPr>
          <w:rFonts w:asciiTheme="majorHAnsi" w:hAnsiTheme="majorHAnsi"/>
          <w:lang w:val="es-CR"/>
        </w:rPr>
        <w:t>del corte de</w:t>
      </w:r>
      <w:r w:rsidR="00036DA9" w:rsidRPr="00036DA9">
        <w:rPr>
          <w:rFonts w:asciiTheme="majorHAnsi" w:hAnsiTheme="majorHAnsi"/>
          <w:lang w:val="es-CR"/>
        </w:rPr>
        <w:t xml:space="preserve"> setiembre del 2015</w:t>
      </w:r>
      <w:r>
        <w:rPr>
          <w:rFonts w:asciiTheme="majorHAnsi" w:hAnsiTheme="majorHAnsi"/>
          <w:lang w:val="es-CR"/>
        </w:rPr>
        <w:t>,</w:t>
      </w:r>
      <w:r w:rsidR="00036DA9">
        <w:rPr>
          <w:rFonts w:asciiTheme="majorHAnsi" w:hAnsiTheme="majorHAnsi"/>
          <w:lang w:val="es-CR"/>
        </w:rPr>
        <w:t xml:space="preserve"> será puesto a disposición de las entidades el 26 de octubre del 2015.</w:t>
      </w:r>
    </w:p>
    <w:p w14:paraId="536763EF" w14:textId="77777777" w:rsidR="00036DA9" w:rsidRDefault="00036DA9" w:rsidP="00036DA9">
      <w:pPr>
        <w:pStyle w:val="Prrafodelista"/>
        <w:ind w:left="360"/>
        <w:jc w:val="both"/>
        <w:outlineLvl w:val="0"/>
        <w:rPr>
          <w:rFonts w:asciiTheme="majorHAnsi" w:hAnsiTheme="majorHAnsi"/>
          <w:lang w:val="es-CR"/>
        </w:rPr>
      </w:pPr>
    </w:p>
    <w:p w14:paraId="4071A52F" w14:textId="77777777" w:rsidR="00C640D8" w:rsidRPr="004548A0" w:rsidRDefault="00C640D8" w:rsidP="00036DA9">
      <w:pPr>
        <w:pStyle w:val="Prrafodelista"/>
        <w:numPr>
          <w:ilvl w:val="0"/>
          <w:numId w:val="14"/>
        </w:numPr>
        <w:jc w:val="both"/>
        <w:outlineLvl w:val="0"/>
        <w:rPr>
          <w:rFonts w:asciiTheme="majorHAnsi" w:hAnsiTheme="majorHAnsi"/>
          <w:lang w:val="es-CR"/>
        </w:rPr>
      </w:pPr>
      <w:r w:rsidRPr="004548A0">
        <w:rPr>
          <w:rFonts w:asciiTheme="majorHAnsi" w:hAnsiTheme="majorHAnsi"/>
          <w:lang w:val="es-CR"/>
        </w:rPr>
        <w:t>Para consultas pueden comunicarse con:</w:t>
      </w:r>
    </w:p>
    <w:p w14:paraId="62DAE259" w14:textId="77777777" w:rsidR="00C640D8" w:rsidRPr="004548A0" w:rsidRDefault="00C640D8" w:rsidP="00C640D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7"/>
        <w:gridCol w:w="3260"/>
      </w:tblGrid>
      <w:tr w:rsidR="00C640D8" w:rsidRPr="004548A0" w14:paraId="4F99D6FE" w14:textId="77777777" w:rsidTr="00261E6C">
        <w:trPr>
          <w:jc w:val="center"/>
        </w:trPr>
        <w:tc>
          <w:tcPr>
            <w:tcW w:w="3544" w:type="dxa"/>
          </w:tcPr>
          <w:p w14:paraId="022A6E37" w14:textId="77777777" w:rsidR="00C640D8" w:rsidRPr="004548A0" w:rsidRDefault="00C640D8" w:rsidP="00261E6C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val="es-CR"/>
              </w:rPr>
            </w:pPr>
            <w:r w:rsidRPr="004548A0">
              <w:rPr>
                <w:rFonts w:asciiTheme="majorHAnsi" w:hAnsiTheme="majorHAnsi"/>
                <w:b/>
                <w:lang w:val="es-CR"/>
              </w:rPr>
              <w:t>Nombre del Contacto</w:t>
            </w:r>
          </w:p>
        </w:tc>
        <w:tc>
          <w:tcPr>
            <w:tcW w:w="1417" w:type="dxa"/>
          </w:tcPr>
          <w:p w14:paraId="30D2ED74" w14:textId="77777777" w:rsidR="00C640D8" w:rsidRPr="004548A0" w:rsidRDefault="00C640D8" w:rsidP="00261E6C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val="es-CR"/>
              </w:rPr>
            </w:pPr>
            <w:r w:rsidRPr="004548A0">
              <w:rPr>
                <w:rFonts w:asciiTheme="majorHAnsi" w:hAnsiTheme="majorHAnsi"/>
                <w:b/>
                <w:lang w:val="es-CR"/>
              </w:rPr>
              <w:t>Teléfono</w:t>
            </w:r>
          </w:p>
        </w:tc>
        <w:tc>
          <w:tcPr>
            <w:tcW w:w="3260" w:type="dxa"/>
          </w:tcPr>
          <w:p w14:paraId="26EC3AD5" w14:textId="77777777" w:rsidR="00C640D8" w:rsidRPr="004548A0" w:rsidRDefault="00C640D8" w:rsidP="00261E6C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lang w:val="es-CR"/>
              </w:rPr>
            </w:pPr>
            <w:r w:rsidRPr="004548A0">
              <w:rPr>
                <w:rFonts w:asciiTheme="majorHAnsi" w:hAnsiTheme="majorHAnsi"/>
                <w:b/>
                <w:lang w:val="es-CR"/>
              </w:rPr>
              <w:t>Email</w:t>
            </w:r>
          </w:p>
        </w:tc>
      </w:tr>
      <w:tr w:rsidR="00C640D8" w:rsidRPr="004548A0" w14:paraId="31A20550" w14:textId="77777777" w:rsidTr="00261E6C">
        <w:trPr>
          <w:jc w:val="center"/>
        </w:trPr>
        <w:tc>
          <w:tcPr>
            <w:tcW w:w="3544" w:type="dxa"/>
          </w:tcPr>
          <w:p w14:paraId="5BD9B167" w14:textId="77777777" w:rsidR="00C640D8" w:rsidRPr="004548A0" w:rsidRDefault="00C640D8" w:rsidP="00261E6C">
            <w:pPr>
              <w:pStyle w:val="Prrafodelista"/>
              <w:ind w:left="0"/>
              <w:jc w:val="both"/>
              <w:rPr>
                <w:rFonts w:asciiTheme="majorHAnsi" w:hAnsiTheme="majorHAnsi"/>
                <w:lang w:val="es-CR"/>
              </w:rPr>
            </w:pPr>
            <w:r w:rsidRPr="004548A0">
              <w:rPr>
                <w:rFonts w:asciiTheme="majorHAnsi" w:hAnsiTheme="majorHAnsi"/>
                <w:lang w:val="es-CR"/>
              </w:rPr>
              <w:t>Osvaldo Sánchez Chaves</w:t>
            </w:r>
          </w:p>
        </w:tc>
        <w:tc>
          <w:tcPr>
            <w:tcW w:w="1417" w:type="dxa"/>
          </w:tcPr>
          <w:p w14:paraId="4977A22C" w14:textId="77777777" w:rsidR="00C640D8" w:rsidRPr="004548A0" w:rsidRDefault="00C640D8" w:rsidP="00261E6C">
            <w:pPr>
              <w:pStyle w:val="Ttulo3"/>
              <w:spacing w:before="0" w:after="0"/>
              <w:jc w:val="center"/>
              <w:rPr>
                <w:rFonts w:asciiTheme="majorHAnsi" w:hAnsiTheme="majorHAnsi"/>
                <w:b w:val="0"/>
                <w:sz w:val="24"/>
                <w:szCs w:val="24"/>
                <w:lang w:val="es-CR"/>
              </w:rPr>
            </w:pPr>
            <w:r w:rsidRPr="004548A0">
              <w:rPr>
                <w:rFonts w:asciiTheme="majorHAnsi" w:hAnsiTheme="majorHAnsi"/>
                <w:b w:val="0"/>
                <w:sz w:val="24"/>
                <w:szCs w:val="24"/>
                <w:lang w:val="es-CR"/>
              </w:rPr>
              <w:t>2243-4930</w:t>
            </w:r>
          </w:p>
        </w:tc>
        <w:tc>
          <w:tcPr>
            <w:tcW w:w="3260" w:type="dxa"/>
          </w:tcPr>
          <w:p w14:paraId="0D953F17" w14:textId="77777777" w:rsidR="00C640D8" w:rsidRPr="004548A0" w:rsidRDefault="00C640D8" w:rsidP="00261E6C">
            <w:pPr>
              <w:pStyle w:val="Ttulo3"/>
              <w:spacing w:before="0" w:after="0"/>
              <w:jc w:val="both"/>
              <w:rPr>
                <w:rStyle w:val="Hipervnculo"/>
                <w:rFonts w:asciiTheme="majorHAnsi" w:hAnsiTheme="majorHAnsi"/>
                <w:sz w:val="24"/>
                <w:szCs w:val="24"/>
                <w:lang w:val="es-CR"/>
              </w:rPr>
            </w:pPr>
            <w:r w:rsidRPr="004548A0">
              <w:rPr>
                <w:rStyle w:val="Hipervnculo"/>
                <w:rFonts w:asciiTheme="majorHAnsi" w:hAnsiTheme="majorHAnsi"/>
                <w:sz w:val="24"/>
                <w:szCs w:val="24"/>
                <w:lang w:val="es-CR"/>
              </w:rPr>
              <w:t>osanchez@sugef.fi.cr</w:t>
            </w:r>
          </w:p>
        </w:tc>
      </w:tr>
      <w:tr w:rsidR="00C640D8" w:rsidRPr="004548A0" w14:paraId="1CC3AD54" w14:textId="77777777" w:rsidTr="00261E6C">
        <w:trPr>
          <w:jc w:val="center"/>
        </w:trPr>
        <w:tc>
          <w:tcPr>
            <w:tcW w:w="3544" w:type="dxa"/>
          </w:tcPr>
          <w:p w14:paraId="2FB28B21" w14:textId="77777777" w:rsidR="00C640D8" w:rsidRPr="004548A0" w:rsidRDefault="00C640D8" w:rsidP="00261E6C">
            <w:pPr>
              <w:pStyle w:val="Prrafodelista"/>
              <w:ind w:left="0"/>
              <w:jc w:val="both"/>
              <w:rPr>
                <w:rFonts w:asciiTheme="majorHAnsi" w:hAnsiTheme="majorHAnsi"/>
                <w:lang w:val="es-CR"/>
              </w:rPr>
            </w:pPr>
            <w:r w:rsidRPr="004548A0">
              <w:rPr>
                <w:rFonts w:asciiTheme="majorHAnsi" w:hAnsiTheme="majorHAnsi"/>
                <w:lang w:val="es-CR"/>
              </w:rPr>
              <w:t>Judith Huertas Guillén</w:t>
            </w:r>
          </w:p>
        </w:tc>
        <w:tc>
          <w:tcPr>
            <w:tcW w:w="1417" w:type="dxa"/>
          </w:tcPr>
          <w:p w14:paraId="6F904C40" w14:textId="77777777" w:rsidR="00C640D8" w:rsidRPr="004548A0" w:rsidRDefault="00C640D8" w:rsidP="00261E6C">
            <w:pPr>
              <w:pStyle w:val="Ttulo3"/>
              <w:spacing w:before="0" w:after="0"/>
              <w:jc w:val="center"/>
              <w:rPr>
                <w:rFonts w:asciiTheme="majorHAnsi" w:hAnsiTheme="majorHAnsi"/>
                <w:b w:val="0"/>
                <w:sz w:val="24"/>
                <w:szCs w:val="24"/>
                <w:lang w:val="es-CR"/>
              </w:rPr>
            </w:pPr>
            <w:r w:rsidRPr="004548A0">
              <w:rPr>
                <w:rFonts w:asciiTheme="majorHAnsi" w:hAnsiTheme="majorHAnsi"/>
                <w:b w:val="0"/>
                <w:sz w:val="24"/>
                <w:szCs w:val="24"/>
                <w:lang w:val="es-CR"/>
              </w:rPr>
              <w:t>2243-4924</w:t>
            </w:r>
          </w:p>
        </w:tc>
        <w:tc>
          <w:tcPr>
            <w:tcW w:w="3260" w:type="dxa"/>
          </w:tcPr>
          <w:p w14:paraId="0DCA163C" w14:textId="77777777" w:rsidR="00C640D8" w:rsidRPr="004548A0" w:rsidRDefault="00E33EE9" w:rsidP="00261E6C">
            <w:pPr>
              <w:pStyle w:val="Ttulo3"/>
              <w:spacing w:before="0" w:after="0"/>
              <w:jc w:val="both"/>
              <w:rPr>
                <w:rFonts w:asciiTheme="majorHAnsi" w:hAnsiTheme="majorHAnsi"/>
                <w:sz w:val="24"/>
                <w:szCs w:val="24"/>
                <w:lang w:val="es-CR"/>
              </w:rPr>
            </w:pPr>
            <w:hyperlink r:id="rId12" w:history="1">
              <w:r w:rsidR="00C640D8" w:rsidRPr="004548A0">
                <w:rPr>
                  <w:rStyle w:val="Hipervnculo"/>
                  <w:rFonts w:asciiTheme="majorHAnsi" w:hAnsiTheme="majorHAnsi"/>
                  <w:sz w:val="24"/>
                  <w:szCs w:val="24"/>
                  <w:lang w:val="es-CR"/>
                </w:rPr>
                <w:t>jhuertas@sugef.fi.cr</w:t>
              </w:r>
            </w:hyperlink>
            <w:r w:rsidR="00C640D8" w:rsidRPr="004548A0">
              <w:rPr>
                <w:rFonts w:asciiTheme="majorHAnsi" w:hAnsiTheme="majorHAnsi"/>
                <w:sz w:val="24"/>
                <w:szCs w:val="24"/>
                <w:lang w:val="es-CR"/>
              </w:rPr>
              <w:t xml:space="preserve"> </w:t>
            </w:r>
          </w:p>
        </w:tc>
      </w:tr>
      <w:tr w:rsidR="00C640D8" w:rsidRPr="004548A0" w14:paraId="4705B141" w14:textId="77777777" w:rsidTr="00261E6C">
        <w:trPr>
          <w:jc w:val="center"/>
        </w:trPr>
        <w:tc>
          <w:tcPr>
            <w:tcW w:w="3544" w:type="dxa"/>
          </w:tcPr>
          <w:p w14:paraId="19DD2577" w14:textId="77777777" w:rsidR="00C640D8" w:rsidRPr="004548A0" w:rsidRDefault="00C640D8" w:rsidP="00261E6C">
            <w:pPr>
              <w:pStyle w:val="Prrafodelista"/>
              <w:ind w:left="0"/>
              <w:jc w:val="both"/>
              <w:rPr>
                <w:rFonts w:asciiTheme="majorHAnsi" w:hAnsiTheme="majorHAnsi"/>
                <w:lang w:val="es-CR"/>
              </w:rPr>
            </w:pPr>
            <w:r w:rsidRPr="004548A0">
              <w:rPr>
                <w:rFonts w:asciiTheme="majorHAnsi" w:hAnsiTheme="majorHAnsi"/>
                <w:lang w:val="es-CR"/>
              </w:rPr>
              <w:t>Roberto Chacón Chaverri</w:t>
            </w:r>
          </w:p>
        </w:tc>
        <w:tc>
          <w:tcPr>
            <w:tcW w:w="1417" w:type="dxa"/>
          </w:tcPr>
          <w:p w14:paraId="53F317AD" w14:textId="77777777" w:rsidR="00C640D8" w:rsidRPr="004548A0" w:rsidRDefault="00C640D8" w:rsidP="00261E6C">
            <w:pPr>
              <w:pStyle w:val="Ttulo3"/>
              <w:spacing w:before="0" w:after="0"/>
              <w:jc w:val="center"/>
              <w:rPr>
                <w:rFonts w:asciiTheme="majorHAnsi" w:hAnsiTheme="majorHAnsi"/>
                <w:b w:val="0"/>
                <w:sz w:val="24"/>
                <w:szCs w:val="24"/>
                <w:lang w:val="es-CR"/>
              </w:rPr>
            </w:pPr>
            <w:r w:rsidRPr="004548A0">
              <w:rPr>
                <w:rFonts w:asciiTheme="majorHAnsi" w:hAnsiTheme="majorHAnsi"/>
                <w:b w:val="0"/>
                <w:sz w:val="24"/>
                <w:szCs w:val="24"/>
                <w:lang w:val="es-CR"/>
              </w:rPr>
              <w:t>2243-4925</w:t>
            </w:r>
          </w:p>
        </w:tc>
        <w:tc>
          <w:tcPr>
            <w:tcW w:w="3260" w:type="dxa"/>
          </w:tcPr>
          <w:p w14:paraId="2FE032B2" w14:textId="77777777" w:rsidR="00C640D8" w:rsidRPr="004548A0" w:rsidRDefault="00C640D8" w:rsidP="00261E6C">
            <w:pPr>
              <w:pStyle w:val="Ttulo3"/>
              <w:spacing w:before="0" w:after="0"/>
              <w:jc w:val="both"/>
              <w:rPr>
                <w:rStyle w:val="Hipervnculo"/>
                <w:rFonts w:asciiTheme="majorHAnsi" w:hAnsiTheme="majorHAnsi"/>
                <w:sz w:val="24"/>
                <w:szCs w:val="24"/>
                <w:lang w:val="es-CR"/>
              </w:rPr>
            </w:pPr>
            <w:r w:rsidRPr="004548A0">
              <w:rPr>
                <w:rStyle w:val="Hipervnculo"/>
                <w:rFonts w:asciiTheme="majorHAnsi" w:hAnsiTheme="majorHAnsi"/>
                <w:sz w:val="24"/>
                <w:szCs w:val="24"/>
                <w:lang w:val="es-CR"/>
              </w:rPr>
              <w:t>rchacon@sugef.fi.cr</w:t>
            </w:r>
          </w:p>
        </w:tc>
      </w:tr>
    </w:tbl>
    <w:p w14:paraId="406DD53E" w14:textId="77777777" w:rsidR="00C640D8" w:rsidRPr="004548A0" w:rsidRDefault="00C640D8" w:rsidP="00D26EDE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</w:p>
    <w:p w14:paraId="509A8211" w14:textId="77777777" w:rsidR="00C640D8" w:rsidRPr="004548A0" w:rsidRDefault="004854DB" w:rsidP="00D26EDE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  <w:r w:rsidRPr="004548A0">
        <w:rPr>
          <w:rFonts w:asciiTheme="majorHAnsi" w:hAnsiTheme="majorHAnsi"/>
          <w:sz w:val="24"/>
        </w:rPr>
        <w:t>Esta Superintendencia externa las disculpas del caso por la situación presentada.</w:t>
      </w:r>
    </w:p>
    <w:p w14:paraId="527C9826" w14:textId="77777777" w:rsidR="004854DB" w:rsidRPr="004548A0" w:rsidRDefault="004854DB" w:rsidP="00D26EDE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</w:p>
    <w:p w14:paraId="10E5B8B5" w14:textId="77777777" w:rsidR="0071134B" w:rsidRPr="004548A0" w:rsidRDefault="0071134B" w:rsidP="004548A0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4548A0">
        <w:rPr>
          <w:rFonts w:asciiTheme="majorHAnsi" w:hAnsiTheme="majorHAnsi"/>
          <w:sz w:val="24"/>
        </w:rPr>
        <w:t>Atentamente,</w:t>
      </w:r>
    </w:p>
    <w:p w14:paraId="57EBB57E" w14:textId="77777777" w:rsidR="000F34AE" w:rsidRPr="004548A0" w:rsidRDefault="000F34AE" w:rsidP="004548A0">
      <w:pPr>
        <w:spacing w:line="240" w:lineRule="auto"/>
        <w:rPr>
          <w:rFonts w:asciiTheme="majorHAnsi" w:hAnsiTheme="majorHAnsi"/>
          <w:sz w:val="24"/>
        </w:rPr>
      </w:pPr>
    </w:p>
    <w:p w14:paraId="089E9664" w14:textId="77777777" w:rsidR="00102395" w:rsidRPr="004548A0" w:rsidRDefault="00102395" w:rsidP="004548A0">
      <w:pPr>
        <w:spacing w:line="240" w:lineRule="auto"/>
        <w:rPr>
          <w:rFonts w:asciiTheme="majorHAnsi" w:hAnsiTheme="majorHAnsi"/>
          <w:sz w:val="24"/>
        </w:rPr>
      </w:pPr>
    </w:p>
    <w:p w14:paraId="46FC3838" w14:textId="77777777" w:rsidR="00041BDD" w:rsidRPr="004548A0" w:rsidRDefault="00041BDD" w:rsidP="004548A0">
      <w:pPr>
        <w:spacing w:line="240" w:lineRule="auto"/>
        <w:rPr>
          <w:rFonts w:asciiTheme="majorHAnsi" w:hAnsiTheme="majorHAnsi"/>
          <w:sz w:val="24"/>
        </w:rPr>
      </w:pPr>
    </w:p>
    <w:p w14:paraId="55059788" w14:textId="77777777" w:rsidR="0085692C" w:rsidRPr="004548A0" w:rsidRDefault="00454CF0" w:rsidP="004548A0">
      <w:pPr>
        <w:pStyle w:val="Negrita"/>
        <w:spacing w:line="240" w:lineRule="auto"/>
        <w:rPr>
          <w:rFonts w:asciiTheme="majorHAnsi" w:hAnsiTheme="majorHAnsi"/>
          <w:sz w:val="24"/>
        </w:rPr>
      </w:pPr>
      <w:r w:rsidRPr="004548A0">
        <w:rPr>
          <w:rFonts w:asciiTheme="majorHAnsi" w:hAnsiTheme="majorHAnsi"/>
          <w:sz w:val="24"/>
        </w:rPr>
        <w:t>Mauricio Meza Ramírez</w:t>
      </w:r>
    </w:p>
    <w:p w14:paraId="5293186B" w14:textId="77777777" w:rsidR="00BA112E" w:rsidRPr="004548A0" w:rsidRDefault="00454CF0" w:rsidP="004548A0">
      <w:pPr>
        <w:spacing w:line="240" w:lineRule="auto"/>
        <w:rPr>
          <w:rFonts w:asciiTheme="majorHAnsi" w:hAnsiTheme="majorHAnsi"/>
          <w:sz w:val="24"/>
        </w:rPr>
      </w:pPr>
      <w:r w:rsidRPr="004548A0">
        <w:rPr>
          <w:rFonts w:asciiTheme="majorHAnsi" w:hAnsiTheme="majorHAnsi"/>
          <w:sz w:val="24"/>
        </w:rPr>
        <w:t>I</w:t>
      </w:r>
      <w:r w:rsidR="005B448F" w:rsidRPr="004548A0">
        <w:rPr>
          <w:rFonts w:asciiTheme="majorHAnsi" w:hAnsiTheme="majorHAnsi"/>
          <w:sz w:val="24"/>
        </w:rPr>
        <w:t>ntendente</w:t>
      </w:r>
    </w:p>
    <w:p w14:paraId="701C9CCE" w14:textId="77777777" w:rsidR="00EB4E27" w:rsidRPr="004548A0" w:rsidRDefault="00C640D8" w:rsidP="004548A0">
      <w:pPr>
        <w:rPr>
          <w:rFonts w:asciiTheme="majorHAnsi" w:hAnsiTheme="majorHAnsi"/>
          <w:sz w:val="24"/>
        </w:rPr>
      </w:pPr>
      <w:r w:rsidRPr="004548A0">
        <w:rPr>
          <w:rFonts w:asciiTheme="majorHAnsi" w:hAnsiTheme="majorHAnsi"/>
          <w:noProof/>
          <w:sz w:val="24"/>
          <w:lang w:val="es-CR" w:eastAsia="es-CR"/>
        </w:rPr>
        <w:drawing>
          <wp:anchor distT="0" distB="0" distL="114300" distR="114300" simplePos="0" relativeHeight="251659776" behindDoc="1" locked="0" layoutInCell="1" allowOverlap="1" wp14:anchorId="14B8862C" wp14:editId="05FFF8DD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519680" cy="3905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B4E27" w:rsidRPr="004548A0" w:rsidSect="005739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53780" w14:textId="77777777" w:rsidR="000D235D" w:rsidRDefault="000D235D" w:rsidP="00D43D57">
      <w:r>
        <w:separator/>
      </w:r>
    </w:p>
  </w:endnote>
  <w:endnote w:type="continuationSeparator" w:id="0">
    <w:p w14:paraId="5D831276" w14:textId="77777777" w:rsidR="000D235D" w:rsidRDefault="000D235D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37F8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52D521AD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6F68DFFC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2565BDE9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4B3354C2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0B476A66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4DC98F50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488BDC1C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3887F52A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33EE9">
            <w:rPr>
              <w:noProof/>
            </w:rPr>
            <w:t>2</w:t>
          </w:r>
          <w:r>
            <w:fldChar w:fldCharType="end"/>
          </w:r>
        </w:p>
      </w:tc>
    </w:tr>
  </w:tbl>
  <w:p w14:paraId="5579C662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3BBC83F4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129FF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1133886E" wp14:editId="0105AFDE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388B33" wp14:editId="5E40FC2B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DE5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4E5D0FA4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632DE49C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72A8334C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39C4E9C3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88B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7E16DE5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4E5D0FA4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632DE49C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72A8334C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39C4E9C3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84DC14" w14:textId="77777777" w:rsidR="001C075B" w:rsidRPr="00D43D57" w:rsidRDefault="001C075B" w:rsidP="008C0BF0">
    <w:pPr>
      <w:pStyle w:val="Piepagina"/>
      <w:jc w:val="center"/>
    </w:pPr>
  </w:p>
  <w:p w14:paraId="31FBA6D6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6B715" w14:textId="77777777" w:rsidR="000D235D" w:rsidRDefault="000D235D" w:rsidP="00D43D57">
      <w:r>
        <w:separator/>
      </w:r>
    </w:p>
  </w:footnote>
  <w:footnote w:type="continuationSeparator" w:id="0">
    <w:p w14:paraId="099CBBD5" w14:textId="77777777" w:rsidR="000D235D" w:rsidRDefault="000D235D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E6D2F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06E79B37" wp14:editId="7E3A35AA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D557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1A29ACCD" wp14:editId="4BD6F9A2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23172AAC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2F1B6681"/>
    <w:multiLevelType w:val="hybridMultilevel"/>
    <w:tmpl w:val="3BEC345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0D40DD"/>
    <w:multiLevelType w:val="hybridMultilevel"/>
    <w:tmpl w:val="658E8E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8"/>
    <w:rsid w:val="000064A4"/>
    <w:rsid w:val="000235B5"/>
    <w:rsid w:val="00026C85"/>
    <w:rsid w:val="00036DA9"/>
    <w:rsid w:val="00041BDD"/>
    <w:rsid w:val="000439A6"/>
    <w:rsid w:val="00060C03"/>
    <w:rsid w:val="000646DD"/>
    <w:rsid w:val="00081865"/>
    <w:rsid w:val="00082968"/>
    <w:rsid w:val="000C62BB"/>
    <w:rsid w:val="000D235D"/>
    <w:rsid w:val="000E0AC6"/>
    <w:rsid w:val="000E2D5E"/>
    <w:rsid w:val="000F34AE"/>
    <w:rsid w:val="00102395"/>
    <w:rsid w:val="00117501"/>
    <w:rsid w:val="001322B4"/>
    <w:rsid w:val="001327EB"/>
    <w:rsid w:val="0016220C"/>
    <w:rsid w:val="001653C6"/>
    <w:rsid w:val="00167263"/>
    <w:rsid w:val="001946F4"/>
    <w:rsid w:val="001A6574"/>
    <w:rsid w:val="001C075B"/>
    <w:rsid w:val="001C5806"/>
    <w:rsid w:val="001E0448"/>
    <w:rsid w:val="0020417B"/>
    <w:rsid w:val="00230C67"/>
    <w:rsid w:val="00243024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633"/>
    <w:rsid w:val="00322A87"/>
    <w:rsid w:val="003267FB"/>
    <w:rsid w:val="003312B8"/>
    <w:rsid w:val="003503A2"/>
    <w:rsid w:val="003554C5"/>
    <w:rsid w:val="00365794"/>
    <w:rsid w:val="00373B22"/>
    <w:rsid w:val="00385CC2"/>
    <w:rsid w:val="003C298B"/>
    <w:rsid w:val="003C4C71"/>
    <w:rsid w:val="003E4EDB"/>
    <w:rsid w:val="00410551"/>
    <w:rsid w:val="00412884"/>
    <w:rsid w:val="00414B77"/>
    <w:rsid w:val="00427002"/>
    <w:rsid w:val="00447A41"/>
    <w:rsid w:val="004548A0"/>
    <w:rsid w:val="00454CF0"/>
    <w:rsid w:val="004822E6"/>
    <w:rsid w:val="004854DB"/>
    <w:rsid w:val="00492FE3"/>
    <w:rsid w:val="004D7F44"/>
    <w:rsid w:val="004F74E7"/>
    <w:rsid w:val="005105C4"/>
    <w:rsid w:val="0053623F"/>
    <w:rsid w:val="005451E3"/>
    <w:rsid w:val="00550D78"/>
    <w:rsid w:val="00557369"/>
    <w:rsid w:val="005706D1"/>
    <w:rsid w:val="005739A8"/>
    <w:rsid w:val="005751FC"/>
    <w:rsid w:val="00577A95"/>
    <w:rsid w:val="00590F07"/>
    <w:rsid w:val="0059392E"/>
    <w:rsid w:val="00594FC3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77B93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471A2"/>
    <w:rsid w:val="00755896"/>
    <w:rsid w:val="00765619"/>
    <w:rsid w:val="007736D4"/>
    <w:rsid w:val="0079518D"/>
    <w:rsid w:val="007A7890"/>
    <w:rsid w:val="007B18D6"/>
    <w:rsid w:val="007B51DD"/>
    <w:rsid w:val="007D1328"/>
    <w:rsid w:val="007F1723"/>
    <w:rsid w:val="007F327D"/>
    <w:rsid w:val="007F3A44"/>
    <w:rsid w:val="007F5430"/>
    <w:rsid w:val="008202A0"/>
    <w:rsid w:val="00823E33"/>
    <w:rsid w:val="008310AB"/>
    <w:rsid w:val="00832753"/>
    <w:rsid w:val="00841E87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D3BD4"/>
    <w:rsid w:val="009F54CB"/>
    <w:rsid w:val="00A26E9E"/>
    <w:rsid w:val="00A34523"/>
    <w:rsid w:val="00A76A2E"/>
    <w:rsid w:val="00A84CDB"/>
    <w:rsid w:val="00A906DD"/>
    <w:rsid w:val="00AC5138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0D8"/>
    <w:rsid w:val="00C64425"/>
    <w:rsid w:val="00C809BA"/>
    <w:rsid w:val="00C9305E"/>
    <w:rsid w:val="00C934B9"/>
    <w:rsid w:val="00CA3FA8"/>
    <w:rsid w:val="00CB07CA"/>
    <w:rsid w:val="00CF4542"/>
    <w:rsid w:val="00D01AD4"/>
    <w:rsid w:val="00D03728"/>
    <w:rsid w:val="00D06E99"/>
    <w:rsid w:val="00D102F8"/>
    <w:rsid w:val="00D10AD8"/>
    <w:rsid w:val="00D16BFC"/>
    <w:rsid w:val="00D2424F"/>
    <w:rsid w:val="00D26EDE"/>
    <w:rsid w:val="00D32808"/>
    <w:rsid w:val="00D43D57"/>
    <w:rsid w:val="00D44EF3"/>
    <w:rsid w:val="00D45FC0"/>
    <w:rsid w:val="00D54C08"/>
    <w:rsid w:val="00D55CA3"/>
    <w:rsid w:val="00D75AFB"/>
    <w:rsid w:val="00D829C0"/>
    <w:rsid w:val="00D96D0A"/>
    <w:rsid w:val="00DB3508"/>
    <w:rsid w:val="00DB3E70"/>
    <w:rsid w:val="00DC2193"/>
    <w:rsid w:val="00DC3B8E"/>
    <w:rsid w:val="00DE08C6"/>
    <w:rsid w:val="00DF330C"/>
    <w:rsid w:val="00E11252"/>
    <w:rsid w:val="00E13C47"/>
    <w:rsid w:val="00E21145"/>
    <w:rsid w:val="00E304B3"/>
    <w:rsid w:val="00E33EE9"/>
    <w:rsid w:val="00E5185D"/>
    <w:rsid w:val="00E75AC8"/>
    <w:rsid w:val="00E82177"/>
    <w:rsid w:val="00EA4965"/>
    <w:rsid w:val="00EB4E27"/>
    <w:rsid w:val="00EB71D8"/>
    <w:rsid w:val="00EC2E48"/>
    <w:rsid w:val="00EC3236"/>
    <w:rsid w:val="00ED0FDD"/>
    <w:rsid w:val="00EE00D4"/>
    <w:rsid w:val="00EE3A47"/>
    <w:rsid w:val="00EF0C8B"/>
    <w:rsid w:val="00EF3432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6D123B8B"/>
  <w15:docId w15:val="{F3696E16-43A9-49DB-9CEA-E0631081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rsid w:val="00CF4542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C640D8"/>
    <w:pPr>
      <w:keepNext/>
      <w:spacing w:before="240" w:after="60" w:line="240" w:lineRule="auto"/>
      <w:jc w:val="left"/>
      <w:outlineLvl w:val="2"/>
    </w:pPr>
    <w:rPr>
      <w:b/>
      <w:bCs/>
      <w:sz w:val="26"/>
      <w:szCs w:val="26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Ind w:w="0" w:type="dxa"/>
      <w:tblBorders>
        <w:top w:val="single" w:sz="8" w:space="0" w:color="3882C6" w:themeColor="accent1"/>
        <w:bottom w:val="single" w:sz="8" w:space="0" w:color="388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Ind w:w="0" w:type="dxa"/>
      <w:tblBorders>
        <w:top w:val="single" w:sz="8" w:space="0" w:color="95B3D7" w:themeColor="accent6"/>
        <w:bottom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Ind w:w="0" w:type="dxa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C640D8"/>
    <w:rPr>
      <w:rFonts w:ascii="Cambria" w:eastAsia="Times New Roman" w:hAnsi="Cambria"/>
      <w:b/>
      <w:bCs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C640D8"/>
    <w:rPr>
      <w:color w:val="4F81BD" w:themeColor="hyperlink"/>
      <w:u w:val="single"/>
    </w:rPr>
  </w:style>
  <w:style w:type="paragraph" w:styleId="NormalWeb">
    <w:name w:val="Normal (Web)"/>
    <w:basedOn w:val="Normal"/>
    <w:locked/>
    <w:rsid w:val="00C640D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locked/>
    <w:rsid w:val="00C640D8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C640D8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485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4854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4DB"/>
    <w:rPr>
      <w:rFonts w:ascii="Cambria" w:eastAsia="Times New Roman" w:hAnsi="Cambria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485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4DB"/>
    <w:rPr>
      <w:rFonts w:ascii="Cambria" w:eastAsia="Times New Roman" w:hAnsi="Cambria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huertas@sugef.fi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uF0oQCgncd5u6XW5u5uLPPfY+Iw=</DigestValue>
    </Reference>
    <Reference Type="http://www.w3.org/2000/09/xmldsig#Object" URI="#idOfficeObject">
      <DigestMethod Algorithm="http://www.w3.org/2000/09/xmldsig#sha1"/>
      <DigestValue>CAyaDOSAYH8SLPGA+EM3iIIElDA=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H6PWI9Rj4oxfE66WUcEu4bvcRCU=</DigestValue>
    </Reference>
  </SignedInfo>
  <SignatureValue>lmHDAHUkz8H+1/MtN5+aj3s8hm68adV0fOmA0k9XGSNqjCg9hnqacG8eliIYJ8ITgm3gcO2Wn/Ep
D+I6AmsSBJJwv1H7qfeZMpimYM6OuPfkMmwyxfJ1dU3KW6wJbs5BJLvKSMF/GQuIk6qqux7PglUf
TvMmAkcuZOY77A6StWLCSEi/2L7jBIdhGv9w6xpfKhjaJ4miHi6rPaBb+tirWV6E2QXyfBtLmz/1
FgMjfVqy639Rz6/TwqiJIKBrQ8zKa4xUSJA5E3tVmcgbrJ4vjQO5HpfhMgrd5QBjXXGOcOw38s1O
WeyZ+fNyxhggLMcpq56ZzZZ4B4vkECejQDFd9w==</SignatureValue>
  <KeyInfo>
    <X509Data>
      <X509Certificate>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jeeoP76U5SNtLRQloJRZvg/GPWQ=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m5ABoQuEMzJcW0SvLBUILRubjL4=</DigestValue>
      </Reference>
      <Reference URI="/word/endnotes.xml?ContentType=application/vnd.openxmlformats-officedocument.wordprocessingml.endnotes+xml">
        <DigestMethod Algorithm="http://www.w3.org/2000/09/xmldsig#sha1"/>
        <DigestValue>kl1xtgCsE0Mhg58JaUqG8O+nIXU=</DigestValue>
      </Reference>
      <Reference URI="/word/fontTable.xml?ContentType=application/vnd.openxmlformats-officedocument.wordprocessingml.fontTable+xml">
        <DigestMethod Algorithm="http://www.w3.org/2000/09/xmldsig#sha1"/>
        <DigestValue>Ej6NSLf/vabsZD9rQSIlGP/B8VM=</DigestValue>
      </Reference>
      <Reference URI="/word/footer1.xml?ContentType=application/vnd.openxmlformats-officedocument.wordprocessingml.footer+xml">
        <DigestMethod Algorithm="http://www.w3.org/2000/09/xmldsig#sha1"/>
        <DigestValue>ZrZrMqg5J3LESXnpmcpcFusV/do=</DigestValue>
      </Reference>
      <Reference URI="/word/footer2.xml?ContentType=application/vnd.openxmlformats-officedocument.wordprocessingml.footer+xml">
        <DigestMethod Algorithm="http://www.w3.org/2000/09/xmldsig#sha1"/>
        <DigestValue>DBg9oQbzlTH4i0hzhmt6yJ3Xydc=</DigestValue>
      </Reference>
      <Reference URI="/word/footnotes.xml?ContentType=application/vnd.openxmlformats-officedocument.wordprocessingml.footnotes+xml">
        <DigestMethod Algorithm="http://www.w3.org/2000/09/xmldsig#sha1"/>
        <DigestValue>00aOfuPEj2Xefr2yA87MHP8M3mo=</DigestValue>
      </Reference>
      <Reference URI="/word/header1.xml?ContentType=application/vnd.openxmlformats-officedocument.wordprocessingml.header+xml">
        <DigestMethod Algorithm="http://www.w3.org/2000/09/xmldsig#sha1"/>
        <DigestValue>asjIflgaQ4vn3efc+/hLzsJfM/U=</DigestValue>
      </Reference>
      <Reference URI="/word/header2.xml?ContentType=application/vnd.openxmlformats-officedocument.wordprocessingml.header+xml">
        <DigestMethod Algorithm="http://www.w3.org/2000/09/xmldsig#sha1"/>
        <DigestValue>/p0fKm5PAmJhqtrt263310bGnSU=</DigestValue>
      </Reference>
      <Reference URI="/word/media/image1.jp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uG7noDqJPJ6d29xqa+gG3RIHXCo=</DigestValue>
      </Reference>
      <Reference URI="/word/settings.xml?ContentType=application/vnd.openxmlformats-officedocument.wordprocessingml.settings+xml">
        <DigestMethod Algorithm="http://www.w3.org/2000/09/xmldsig#sha1"/>
        <DigestValue>qrhHP//ApLlv/OVshAMWrIEMHug=</DigestValue>
      </Reference>
      <Reference URI="/word/styles.xml?ContentType=application/vnd.openxmlformats-officedocument.wordprocessingml.styles+xml">
        <DigestMethod Algorithm="http://www.w3.org/2000/09/xmldsig#sha1"/>
        <DigestValue>ULMBs6C0RLGF+tv+N+nl85RDucE=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2015-10-02T04:39:20Z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2015-10-02T04:39:20Z</xd:SigningTime>
          <xd:SigningCertificate>
            <xd:Cert>
              <xd:CertDigest>
                <DigestMethod Algorithm="http://www.w3.org/2000/09/xmldsig#sha1"/>
                <DigestValue>lNjCrJ4C5muDLJ85CRHkZs43aFg=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316405755889549666610883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Aprobó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ependencia xmlns="b875e23b-67d9-4b2e-bdec-edacbf90b326"/>
    <KpiDescription xmlns="http://schemas.microsoft.com/sharepoint/v3">2883-2015 
Proyecto de circular para otorgar prórroga para el envío de XML relacionados con el archivo descargable.
nota: la circular se tramita con el oficio SGF-2888-2015
Circular externa VJCE 1-10-2015 prórroga remisión XML contable
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Copiado_x0020_a xmlns="b875e23b-67d9-4b2e-bdec-edacbf90b326">
      <UserInfo>
        <DisplayName>SUGEF\csancho</DisplayName>
        <AccountId>148</AccountId>
        <AccountType/>
      </UserInfo>
      <UserInfo>
        <DisplayName>SUGEF\aarriola</DisplayName>
        <AccountId>145</AccountId>
        <AccountType/>
      </UserInfo>
    </Copiado_x0020_a>
    <Secretaria xmlns="b875e23b-67d9-4b2e-bdec-edacbf90b326">
      <UserInfo>
        <DisplayName>Nancy Johanna Badilla Mora</DisplayName>
        <AccountId>117</AccountId>
        <AccountType/>
      </UserInfo>
    </Secretaria>
    <Año xmlns="b875e23b-67d9-4b2e-bdec-edacbf90b326">2015</Año>
    <Entidad_x0020_Financiera xmlns="b875e23b-67d9-4b2e-bdec-edacbf90b326">Todos las entidades supervisadas</Entidad_x0020_Financiera>
    <Situación_x0020_actual xmlns="b875e23b-67d9-4b2e-bdec-edacbf90b326">2883-2015
Eduardo indicó que se debe enviar a todas las entidades supervisadas, excepto Artículo 15 y Casas de Cambio y Directores de Supervisión y TI
Proyecto de circular para otorgar prórroga para el envío de XML relacionados con el archivo descargable.
Enviar copia del documento firmado a los directores de supervisión y al Director del Depto. Informática</Situación_x0020_actual>
    <Enviado_x0020_por xmlns="b875e23b-67d9-4b2e-bdec-edacbf90b326">Nancy Johanna Badilla Mora</Enviado_x0020_por>
    <Externo_x003f_ xmlns="b875e23b-67d9-4b2e-bdec-edacbf90b326">true</Externo_x003f_>
    <N_x00b0_Oficio xmlns="b875e23b-67d9-4b2e-bdec-edacbf90b326">Circular externa SGF-2888-2015</N_x00b0_Oficio>
    <Firmantes xmlns="b875e23b-67d9-4b2e-bdec-edacbf90b326">
      <UserInfo>
        <DisplayName>SUGEF\mmeza</DisplayName>
        <AccountId>23</AccountId>
        <AccountType/>
      </UserInfo>
    </Firmantes>
    <Firma_x0020_despacho_x003f_ xmlns="b875e23b-67d9-4b2e-bdec-edacbf90b326">true</Firma_x0020_despacho_x003f_>
    <Firma_x0020_digital_x003f_ xmlns="b875e23b-67d9-4b2e-bdec-edacbf90b326">true</Firma_x0020_digital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15" ma:contentTypeDescription="" ma:contentTypeScope="" ma:versionID="a981d1ebf5546ddbd2b6aaf56e55fb60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6b831bc31668a7271a298ebd8669e1ac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2:Externo_x003f_" minOccurs="0"/>
                <xsd:element ref="ns1:KpiDescription" minOccurs="0"/>
                <xsd:element ref="ns3:_Status" minOccurs="0"/>
                <xsd:element ref="ns2:Firmantes" minOccurs="0"/>
                <xsd:element ref="ns2:Año" minOccurs="0"/>
                <xsd:element ref="ns2:Dependencia" minOccurs="0"/>
                <xsd:element ref="ns2:Copiado_x0020_a" minOccurs="0"/>
                <xsd:element ref="ns2:Secretaria" minOccurs="0"/>
                <xsd:element ref="ns2:Firma_x0020_despacho_x003f_" minOccurs="0"/>
                <xsd:element ref="ns2:Firma_x0020_digital_x003f_" minOccurs="0"/>
                <xsd:element ref="ns2:Enviado_x0020_por" minOccurs="0"/>
                <xsd:element ref="ns2:Entrante_x0020_relacion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5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BANCO CREDITO AGRICOLA DE CARTAGO"/>
              <xsd:enumeration value="BANCO DE COSTA RICA"/>
              <xsd:enumeration value="Banco Nacional de Costa Rica."/>
              <xsd:enumeration value="BANCO HIPOTECARIO DE LA VIVIENDA"/>
              <xsd:enumeration value="BANCO POPULAR Y DE DESARROLLO COMUNAL"/>
              <xsd:enumeration value="BANCO BAC SAN JOSE S A"/>
              <xsd:enumeration value="BANCO GENERAL COSTA RICA SOCIEDAD ANONIMA"/>
              <xsd:enumeration value="Banco de Soluciones Bansol de Costa Rica S A"/>
              <xsd:enumeration value="BANCO BCT S A"/>
              <xsd:enumeration value="Banco Cathay de Costa Rica, S.A."/>
              <xsd:enumeration value="BANCO CITIBANK DE COSTA RICA SOCIEDAD ANONIMA"/>
              <xsd:enumeration value="Banco Davivienda Costa Rica Sociedad Anonima"/>
              <xsd:enumeration value="BANCO IMPROSA S A"/>
              <xsd:enumeration value="BANCO LAFISE SOCIEDAD ANONIMA"/>
              <xsd:enumeration value="BANCO PROMERICA DE COSTA RICA S A"/>
              <xsd:enumeration value="SCOTIABANK DE COSTA RICA S A"/>
              <xsd:enumeration value="Financiera ACOBO S A"/>
              <xsd:enumeration value="Financiera Cafsa, S.A."/>
              <xsd:enumeration value="Financiera Comeca, S.A."/>
              <xsd:enumeration value="Financiera Desyfin S.A."/>
              <xsd:enumeration value="FINANCIERA G&amp;T CONTINENTAL COSTA RICA S A"/>
              <xsd:enumeration value="Financiera Multivalores S.A"/>
              <xsd:enumeration value="Caja de Ahorro y Préstamo de la Ande."/>
              <xsd:enumeration value="COOPERATIVA DE AHORRO Y CREDITO DE LOS VECINOS DE ACOSTA R L COOPEACOSTA R L"/>
              <xsd:enumeration value="COOPERATIVA DE AHORRO Y CREDITO ALIANZA DE PEREZ ZELEDON R L COOPEALIANZA R L"/>
              <xsd:enumeration value="Cooperativa de Ahorro y Crédito La Amistad, R.L."/>
              <xsd:enumeration value="Cooperativa de Ahorro y Crédito ANDE No. 1, R.L. (COOPEANDE No 1 R.L.)"/>
              <xsd:enumeration value="COOPERATIVA DE AHORRO Y CREDITO DE LOS EDUCADORES DE LA REGION HUETAR NORTE R L COOPEANDE No7 R L"/>
              <xsd:enumeration value="Cooperativa Aserriceña de Ahorro y Crédito R L COOPEASERRI R L"/>
              <xsd:enumeration value="COOPERATIVA DE AHORRO Y CREDITO DE LOS EMPLEADOS DEL INSTITUTO COSTARRICENSE DE ACUEDUCTOS Y ALCANTARILLADOS R L"/>
              <xsd:enumeration value="COOPERATIVA DE AHORRO Y CREDITO DE LOS TRABAJADORES DEL SECTOR PUBLICO COSTARRICENSE Y LAS EMPRESAS DEL SECTOR SALUD R L COOPECAJA R L"/>
              <xsd:enumeration value="COOPERATIVA DE AHORRO Y CREDITO DE LA COMUNIDAD DE CIUDAD QUESADA R L COOCIQUE R L"/>
              <xsd:enumeration value="COOPERATIVA DE AHORRO Y CREDITO ANTONIO VEGA GRANADOS R L COOPAVEGRA R L"/>
              <xsd:enumeration value="COOPERATIVA DE AHORRO Y CREDITO REFRACCIONARIO DE ALFARO RUIZ R L COOPECAR R L"/>
              <xsd:enumeration value="Cooperativa de Ahorro y Crédito de los Empleados de la Contraloría General de la República R L COOPECO R L"/>
              <xsd:enumeration value="COOPERATIVA DE AHORRO Y CREDITO DE LOS EMPLEADOS DEL SECTOR PUBLICO PRIVADO E INDEPENDIENTE R L COOPEFYL R L"/>
              <xsd:enumeration value="Cooperativa de Ahorro y Crédito de los Productores de Leche R L COOPELECHEROS R L"/>
              <xsd:enumeration value="COOPERATIVA NACIONAL DE EDUCADORES R L (COOPENAE R L)"/>
              <xsd:enumeration value="Cooperativa de Ahorro y Crédito para el Desarrollo, R.L. (CREDECOOP R.L)"/>
              <xsd:enumeration value="COOPERATIVA DE AHORRO Y CREDITO REFRACCIONARIO DE LA COMUNIDAD DE ESPARZA R L COOPESPARTA R L"/>
              <xsd:enumeration value="COOPERATIVA DE AHORRO Y CREDITO DE LA COMUNIDAD DE GRECIA R L (COOPEGRECIA)"/>
              <xsd:enumeration value="COOPERATIVA DE AHORRO Y CREDITO DE SERVIDORES JUDICIALES R L COOPEJUDICIAL R L"/>
              <xsd:enumeration value="COOPERATIVA DE AHORRO CREDITO Y SERVICIOS MULTIPLES DE MAESTROS PENSIONADOS Y EN SERVICIO ABIERTO A LA COMUNIDAD R L COOPEMAPRO R L"/>
              <xsd:enumeration value="COOPERATIVA DE AHORRO Y CREDITO Y SERVICIOS MULTIPLES DE LOS MEDICOS R L COOPEMEDICOS R L"/>
              <xsd:enumeration value="COOPERATIVA DE AHORRO Y CREDITO DE LOS EMPLEADOS DEL MINISTERIO DE EDUCACION PUBLICA R L COOPEMEP R L"/>
              <xsd:enumeration value="COOPERATIVA DE AHORRO Y CREDITO DE OROTINA R L COOPEOROTINA R L"/>
              <xsd:enumeration value="COOPERATIVA DE AHORRO Y CREDITO DE LOS EMPLEADOS DEL BANCO POPULAR Y DE DESARROLLO COMUNAL R L COOPEBANPO R L"/>
              <xsd:enumeration value="COOPERATIVA DE AHORRO Y CREDITO DE SAN MARCOS DE TARRAZU R L COOPESANMARCOS R L"/>
              <xsd:enumeration value="COOPERATIVA DE AHORRO Y CREDITO REFACCIONARIO DE LA COMUNIDAD DE SAN RAMON R L COOPESANRAMON R L"/>
              <xsd:enumeration value="SERVICIOS COOPERATIVOS R L (SERVICOOP R L)"/>
              <xsd:enumeration value="COOPERATIVA DE AHORRO Y CREDITO DE LOS SERVIDORES PUBLICOS R L COOPESERVIDORES R L"/>
              <xsd:enumeration value="Cooperativa de Ahorro y Crédito de los Empleados Universitarios Estatales R.L."/>
              <xsd:enumeration value="GRUPO MUTUAL ALAJUELA LA VIVIENDA DE AHORRO Y PRESTAMO"/>
              <xsd:enumeration value="Mutual Cartago de Ahorro y Préstamo"/>
              <xsd:enumeration value="Global Exchange Casa de Cambio S A"/>
              <xsd:enumeration value="SERVIEXPRESO MONEY TRANSFERS CASA DE CAMBIO S A"/>
              <xsd:enumeration value="Casa de Cambio Tele Dólar Expreso S.A."/>
              <xsd:enumeration value="LATIN AMERICAN EXCHANGE LATINEX CASA DE CAMBIO S A"/>
              <xsd:enumeration value="CASA DE CAMBIO SOLUCIONES MONETARIAS SOCIEDAD ANONIMA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4" nillable="true" ma:displayName="Externo?" ma:default="1" ma:description="Externo/Interno" ma:internalName="Externo_x003F_">
      <xsd:simpleType>
        <xsd:restriction base="dms:Boolean"/>
      </xsd:simpleType>
    </xsd:element>
    <xsd:element name="Firmantes" ma:index="7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ño" ma:index="8" nillable="true" ma:displayName="Año" ma:default="2015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Dependencia" ma:index="9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Copiado_x0020_a" ma:index="10" nillable="true" ma:displayName="Copiado a" ma:list="UserInfo" ma:SharePointGroup="0" ma:internalName="Copiado_x0020_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rma_x0020_despacho_x003f_" ma:index="12" nillable="true" ma:displayName="Firma despacho?" ma:default="0" ma:internalName="Firma_x0020_despacho_x003F_">
      <xsd:simpleType>
        <xsd:restriction base="dms:Boolean"/>
      </xsd:simpleType>
    </xsd:element>
    <xsd:element name="Firma_x0020_digital_x003f_" ma:index="13" nillable="true" ma:displayName="Firma digital?" ma:default="0" ma:internalName="Firma_x0020_digital_x003F_">
      <xsd:simpleType>
        <xsd:restriction base="dms:Boolean"/>
      </xsd:simpleType>
    </xsd:element>
    <xsd:element name="Enviado_x0020_por" ma:index="21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Entrante_x0020_relacionado" ma:index="22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F82E-1A70-4392-8CF2-7DEAFF1953AE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AFEF7FDF-A3CF-494D-BC86-AE1680978738}"/>
</file>

<file path=customXml/itemProps4.xml><?xml version="1.0" encoding="utf-8"?>
<ds:datastoreItem xmlns:ds="http://schemas.openxmlformats.org/officeDocument/2006/customXml" ds:itemID="{7A0D7D66-4E1A-43A1-AD6F-E6AC7DE82A05}"/>
</file>

<file path=customXml/itemProps5.xml><?xml version="1.0" encoding="utf-8"?>
<ds:datastoreItem xmlns:ds="http://schemas.openxmlformats.org/officeDocument/2006/customXml" ds:itemID="{A212D416-0BCB-46D2-8A05-C73D504E1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827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Antonio Montoya Solano</dc:creator>
  <cp:keywords/>
  <dc:description/>
  <cp:lastModifiedBy>Mauricio Meza Ramírez</cp:lastModifiedBy>
  <cp:revision>5</cp:revision>
  <cp:lastPrinted>2015-07-30T22:36:00Z</cp:lastPrinted>
  <dcterms:created xsi:type="dcterms:W3CDTF">2015-10-01T22:56:00Z</dcterms:created>
  <dcterms:modified xsi:type="dcterms:W3CDTF">2015-10-02T04:38:00Z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Situación actual">
    <vt:lpwstr>Proyecto de circular para otorgar prórroga para el envío de XML relacionados con el archivo descargable.
Enviar copia del documento firmado a los directores de supervisión y al Director del Depto. Informática</vt:lpwstr>
  </property>
  <property fmtid="{D5CDD505-2E9C-101B-9397-08002B2CF9AE}" pid="5" name="%Avance">
    <vt:r8>1</vt:r8>
  </property>
  <property fmtid="{D5CDD505-2E9C-101B-9397-08002B2CF9AE}" pid="6" name="Externo?">
    <vt:bool>true</vt:bool>
  </property>
  <property fmtid="{D5CDD505-2E9C-101B-9397-08002B2CF9AE}" pid="7" name="Días seguimiento">
    <vt:lpwstr/>
  </property>
  <property fmtid="{D5CDD505-2E9C-101B-9397-08002B2CF9AE}" pid="8" name="N°Oficio">
    <vt:lpwstr>Circular externa VJCE 1-10-2015 prórroga remisión </vt:lpwstr>
  </property>
  <property fmtid="{D5CDD505-2E9C-101B-9397-08002B2CF9AE}" pid="9" name="Firmantes">
    <vt:lpwstr/>
  </property>
  <property fmtid="{D5CDD505-2E9C-101B-9397-08002B2CF9AE}" pid="10" name="Seguimiento?">
    <vt:lpwstr>false</vt:lpwstr>
  </property>
  <property fmtid="{D5CDD505-2E9C-101B-9397-08002B2CF9AE}" pid="11" name="Tipo de envío">
    <vt:lpwstr/>
  </property>
</Properties>
</file>